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71" w:lineRule="auto"/>
        <w:ind w:left="0" w:right="298" w:firstLine="0"/>
        <w:jc w:val="right"/>
        <w:rPr/>
      </w:pPr>
      <w:r w:rsidDel="00000000" w:rsidR="00000000" w:rsidRPr="00000000">
        <w:rPr>
          <w:color w:val="6f2f9f"/>
          <w:rtl w:val="0"/>
        </w:rPr>
        <w:t xml:space="preserve"> Modeling Financial Statements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196850</wp:posOffset>
            </wp:positionH>
            <wp:positionV relativeFrom="paragraph">
              <wp:posOffset>18709</wp:posOffset>
            </wp:positionV>
            <wp:extent cx="2371724" cy="400049"/>
            <wp:effectExtent b="0" l="0" r="0" t="0"/>
            <wp:wrapNone/>
            <wp:docPr descr="logo horizontal jpg" id="3" name="image1.jpg"/>
            <a:graphic>
              <a:graphicData uri="http://schemas.openxmlformats.org/drawingml/2006/picture">
                <pic:pic>
                  <pic:nvPicPr>
                    <pic:cNvPr descr="logo horizontal jpg" id="0" name="image1.jpg"/>
                    <pic:cNvPicPr preferRelativeResize="0"/>
                  </pic:nvPicPr>
                  <pic:blipFill>
                    <a:blip r:embed="rId7"/>
                    <a:srcRect b="0" l="0" r="0" t="0"/>
                    <a:stretch>
                      <a:fillRect/>
                    </a:stretch>
                  </pic:blipFill>
                  <pic:spPr>
                    <a:xfrm>
                      <a:off x="0" y="0"/>
                      <a:ext cx="2371724" cy="400049"/>
                    </a:xfrm>
                    <a:prstGeom prst="rect"/>
                    <a:ln/>
                  </pic:spPr>
                </pic:pic>
              </a:graphicData>
            </a:graphic>
          </wp:anchor>
        </w:drawing>
      </w:r>
    </w:p>
    <w:p w:rsidR="00000000" w:rsidDel="00000000" w:rsidP="00000000" w:rsidRDefault="00000000" w:rsidRPr="00000000" w14:paraId="00000002">
      <w:pPr>
        <w:ind w:right="301"/>
        <w:jc w:val="right"/>
        <w:rPr>
          <w:b w:val="1"/>
          <w:sz w:val="24"/>
          <w:szCs w:val="24"/>
        </w:rPr>
      </w:pPr>
      <w:r w:rsidDel="00000000" w:rsidR="00000000" w:rsidRPr="00000000">
        <w:rPr>
          <w:b w:val="1"/>
          <w:color w:val="6f2f9f"/>
          <w:sz w:val="24"/>
          <w:szCs w:val="24"/>
          <w:rtl w:val="0"/>
        </w:rPr>
        <w:t xml:space="preserve">Professor Julian Yeo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spacing w:before="86" w:lineRule="auto"/>
        <w:ind w:left="0" w:firstLine="0"/>
        <w:rPr>
          <w:b w:val="1"/>
          <w:color w:val="8064a2"/>
          <w:sz w:val="32"/>
          <w:szCs w:val="32"/>
        </w:rPr>
      </w:pPr>
      <w:r w:rsidDel="00000000" w:rsidR="00000000" w:rsidRPr="00000000">
        <w:rPr>
          <w:b w:val="1"/>
          <w:color w:val="8064a2"/>
          <w:sz w:val="32"/>
          <w:szCs w:val="32"/>
          <w:rtl w:val="0"/>
        </w:rPr>
        <w:t xml:space="preserve">  </w:t>
      </w:r>
      <w:r w:rsidDel="00000000" w:rsidR="00000000" w:rsidRPr="00000000">
        <w:rPr>
          <w:b w:val="1"/>
          <w:color w:val="8064a2"/>
          <w:sz w:val="32"/>
          <w:szCs w:val="32"/>
          <w:rtl w:val="0"/>
        </w:rPr>
        <w:t xml:space="preserve">Warning: This course is not optimized for Mac Versions of Excel.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7">
      <w:pPr>
        <w:ind w:left="200" w:firstLine="0"/>
        <w:rPr>
          <w:b w:val="1"/>
          <w:color w:val="6f2f9f"/>
          <w:sz w:val="36"/>
          <w:szCs w:val="36"/>
        </w:rPr>
      </w:pPr>
      <w:r w:rsidDel="00000000" w:rsidR="00000000" w:rsidRPr="00000000">
        <w:rPr>
          <w:b w:val="1"/>
          <w:color w:val="6f2f9f"/>
          <w:sz w:val="36"/>
          <w:szCs w:val="36"/>
          <w:rtl w:val="0"/>
        </w:rPr>
        <w:t xml:space="preserve">Modeling Financial Statements (MSA Spring 2024)</w:t>
      </w:r>
    </w:p>
    <w:p w:rsidR="00000000" w:rsidDel="00000000" w:rsidP="00000000" w:rsidRDefault="00000000" w:rsidRPr="00000000" w14:paraId="00000008">
      <w:pPr>
        <w:ind w:left="200" w:firstLine="0"/>
        <w:rPr>
          <w:b w:val="1"/>
          <w:sz w:val="28"/>
          <w:szCs w:val="28"/>
        </w:rPr>
      </w:pPr>
      <w:r w:rsidDel="00000000" w:rsidR="00000000" w:rsidRPr="00000000">
        <w:rPr>
          <w:rtl w:val="0"/>
        </w:rPr>
      </w:r>
    </w:p>
    <w:p w:rsidR="00000000" w:rsidDel="00000000" w:rsidP="00000000" w:rsidRDefault="00000000" w:rsidRPr="00000000" w14:paraId="00000009">
      <w:pPr>
        <w:pStyle w:val="Heading1"/>
        <w:spacing w:before="280" w:lineRule="auto"/>
        <w:ind w:firstLine="200"/>
        <w:rPr/>
      </w:pPr>
      <w:r w:rsidDel="00000000" w:rsidR="00000000" w:rsidRPr="00000000">
        <w:rPr>
          <w:color w:val="6f2f9f"/>
          <w:rtl w:val="0"/>
        </w:rPr>
        <w:t xml:space="preserve">COURSE DESCRIPTIONS &amp; SYLLABUS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left="200" w:firstLine="0"/>
        <w:rPr>
          <w:b w:val="1"/>
          <w:sz w:val="24"/>
          <w:szCs w:val="24"/>
        </w:rPr>
      </w:pPr>
      <w:r w:rsidDel="00000000" w:rsidR="00000000" w:rsidRPr="00000000">
        <w:rPr>
          <w:b w:val="1"/>
          <w:color w:val="6f2f9f"/>
          <w:sz w:val="24"/>
          <w:szCs w:val="24"/>
          <w:rtl w:val="0"/>
        </w:rPr>
        <w:t xml:space="preserve">Your instructor</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9"/>
        </w:tabs>
        <w:spacing w:after="0" w:before="122" w:line="240" w:lineRule="auto"/>
        <w:ind w:left="3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Professor:</w:t>
        <w:tab/>
        <w:t xml:space="preserve">Julian Yeo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9"/>
        </w:tabs>
        <w:spacing w:after="0" w:before="0" w:line="240" w:lineRule="auto"/>
        <w:ind w:left="3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tab/>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jyeo@stern.nyu.edu</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9"/>
        </w:tabs>
        <w:spacing w:after="0" w:before="3" w:line="240" w:lineRule="auto"/>
        <w:ind w:left="3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Consultation hours:</w:t>
        <w:tab/>
        <w:t xml:space="preserve">Please check LMS Brightspace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190500</wp:posOffset>
                </wp:positionH>
                <wp:positionV relativeFrom="paragraph">
                  <wp:posOffset>190500</wp:posOffset>
                </wp:positionV>
                <wp:extent cx="5847715" cy="18275"/>
                <wp:effectExtent b="0" l="0" r="0" t="0"/>
                <wp:wrapTopAndBottom distB="0" distT="0"/>
                <wp:docPr id="1" name=""/>
                <a:graphic>
                  <a:graphicData uri="http://schemas.microsoft.com/office/word/2010/wordprocessingShape">
                    <wps:wsp>
                      <wps:cNvSpPr/>
                      <wps:cNvPr id="2" name="Shape 2"/>
                      <wps:spPr>
                        <a:xfrm>
                          <a:off x="2422143" y="3779365"/>
                          <a:ext cx="5847715" cy="1270"/>
                        </a:xfrm>
                        <a:custGeom>
                          <a:rect b="b" l="l" r="r" t="t"/>
                          <a:pathLst>
                            <a:path extrusionOk="0" h="120000" w="9209">
                              <a:moveTo>
                                <a:pt x="0" y="0"/>
                              </a:moveTo>
                              <a:lnTo>
                                <a:pt x="9209"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190500</wp:posOffset>
                </wp:positionV>
                <wp:extent cx="5847715" cy="18275"/>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47715" cy="18275"/>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before="90" w:lineRule="auto"/>
        <w:ind w:firstLine="200"/>
        <w:rPr/>
      </w:pPr>
      <w:r w:rsidDel="00000000" w:rsidR="00000000" w:rsidRPr="00000000">
        <w:rPr>
          <w:color w:val="6f2f9f"/>
          <w:rtl w:val="0"/>
        </w:rPr>
        <w:t xml:space="preserve">COURSE DESCRIPTIONS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3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339" w:right="4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Forecasting financial statements is critical for many business disciplines. Though financial projections are rarely perfect, a good</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flexible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dynamic financial model enables users to consider different scenarios (typically predicated by historical and anticipated results) and various variables that could potentially lead to different business decisions.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339" w:right="4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course </w:t>
      </w:r>
      <w:r w:rsidDel="00000000" w:rsidR="00000000" w:rsidRPr="00000000">
        <w:rPr>
          <w:sz w:val="24"/>
          <w:szCs w:val="24"/>
          <w:rtl w:val="0"/>
        </w:rPr>
        <w:t xml:space="preserve">will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equip you with the skills to design, build</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present your interactive financial models from scratch. By the end of the course, you should </w:t>
      </w:r>
      <w:r w:rsidDel="00000000" w:rsidR="00000000" w:rsidRPr="00000000">
        <w:rPr>
          <w:sz w:val="24"/>
          <w:szCs w:val="24"/>
          <w:rtl w:val="0"/>
        </w:rPr>
        <w:t xml:space="preserve">be able to understand, analyze, and model spreadsheet-based pro-forma financials for equity valuation purposes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business contexts. This course synthesizes your knowledge </w:t>
      </w:r>
      <w:r w:rsidDel="00000000" w:rsidR="00000000" w:rsidRPr="00000000">
        <w:rPr>
          <w:sz w:val="24"/>
          <w:szCs w:val="24"/>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financial statement analysis, corporate finance, and valuation.</w:t>
      </w:r>
    </w:p>
    <w:p w:rsidR="00000000" w:rsidDel="00000000" w:rsidP="00000000" w:rsidRDefault="00000000" w:rsidRPr="00000000" w14:paraId="00000014">
      <w:pPr>
        <w:spacing w:before="197" w:lineRule="auto"/>
        <w:ind w:left="340" w:firstLine="0"/>
        <w:rPr>
          <w:i w:val="1"/>
          <w:sz w:val="24"/>
          <w:szCs w:val="24"/>
        </w:rPr>
      </w:pPr>
      <w:r w:rsidDel="00000000" w:rsidR="00000000" w:rsidRPr="00000000">
        <w:rPr>
          <w:i w:val="1"/>
          <w:sz w:val="24"/>
          <w:szCs w:val="24"/>
          <w:u w:val="single"/>
          <w:rtl w:val="0"/>
        </w:rPr>
        <w:t xml:space="preserve">Part I: Building financial models for various decision contexts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39" w:right="5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Part I of the course, we exploit (i) the linkages between financial statements and (ii) the accounting constructs (that tie financial variables together) in building flexible and dynamic financial models for various decision-making contexts. Contexts that we examine include managing working capital, budgeting for start-up businesses, evaluating strategy, </w:t>
      </w:r>
      <w:r w:rsidDel="00000000" w:rsidR="00000000" w:rsidRPr="00000000">
        <w:rPr>
          <w:sz w:val="24"/>
          <w:szCs w:val="24"/>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forecasting financial statements. Part I of the course concludes with building a dynamic financial model that projects the financial statements and their supporting schedules for a publicly listed company.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ind w:left="340" w:firstLine="0"/>
        <w:rPr>
          <w:i w:val="1"/>
          <w:sz w:val="24"/>
          <w:szCs w:val="24"/>
        </w:rPr>
      </w:pPr>
      <w:r w:rsidDel="00000000" w:rsidR="00000000" w:rsidRPr="00000000">
        <w:rPr>
          <w:i w:val="1"/>
          <w:sz w:val="24"/>
          <w:szCs w:val="24"/>
          <w:u w:val="single"/>
          <w:rtl w:val="0"/>
        </w:rPr>
        <w:t xml:space="preserve">Part II: Financial modeling for equity valuation</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 w:right="6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Part II of the course focuses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financial models commonly used for equity valuation purposes. The valuation models we examine include the Relative Valuation</w:t>
      </w:r>
      <w:r w:rsidDel="00000000" w:rsidR="00000000" w:rsidRPr="00000000">
        <w:rPr>
          <w:sz w:val="24"/>
          <w:szCs w:val="24"/>
          <w:rtl w:val="0"/>
        </w:rPr>
        <w:t xml:space="preserve">, Discount Cash Flow, and Abnormal Earnings Growth models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 w:right="4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60" w:w="11920" w:orient="portrait"/>
          <w:pgMar w:bottom="280" w:top="1240" w:left="1100" w:right="1020" w:header="720" w:footer="720"/>
          <w:pgNumType w:start="1"/>
        </w:sectPr>
      </w:pPr>
      <w:r w:rsidDel="00000000" w:rsidR="00000000" w:rsidRPr="00000000">
        <w:rPr>
          <w:sz w:val="24"/>
          <w:szCs w:val="24"/>
          <w:rtl w:val="0"/>
        </w:rPr>
        <w:t xml:space="preserve">We must first know how financial metrics are mapped into stock prices to design your valuation model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Through the development of these valuation models from first principles (yes, in this course, we will derive all the models!), we can synthesize, compare and contrast the different valuation models (e.g., Dividend Discount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340" w:right="4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Free Cash Flows Model, the Residual Income Valuation Model, </w:t>
      </w:r>
      <w:r w:rsidDel="00000000" w:rsidR="00000000" w:rsidRPr="00000000">
        <w:rPr>
          <w:sz w:val="24"/>
          <w:szCs w:val="24"/>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Abnormal Earnings Growth Model). It is also through the derivation of these models. We can pinpoint the relationships (or lack </w:t>
      </w:r>
      <w:r w:rsidDel="00000000" w:rsidR="00000000" w:rsidRPr="00000000">
        <w:rPr>
          <w:sz w:val="24"/>
          <w:szCs w:val="24"/>
          <w:rtl w:val="0"/>
        </w:rPr>
        <w:t xml:space="preserve">thereof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between various accounting variables (such as book value, earnings, EBITDA, etc.) and intrinsic values. To the extent that stock prices and intrinsic values deviate, we will </w:t>
      </w:r>
      <w:r w:rsidDel="00000000" w:rsidR="00000000" w:rsidRPr="00000000">
        <w:rPr>
          <w:sz w:val="24"/>
          <w:szCs w:val="24"/>
          <w:rtl w:val="0"/>
        </w:rPr>
        <w:t xml:space="preserve">better appreciate multiples such as P/B, P/E, PEG, and other ratios involving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stock prices.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339" w:right="4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introduces a new procedure </w:t>
      </w:r>
      <w:r w:rsidDel="00000000" w:rsidR="00000000" w:rsidRPr="00000000">
        <w:rPr>
          <w:sz w:val="24"/>
          <w:szCs w:val="24"/>
          <w:rtl w:val="0"/>
        </w:rPr>
        <w:t xml:space="preserve">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inferring future financial metrics you need to see from a publicly listed company based on the stock price you are paying. Your dynamic valuation model will enable you to identify and quantify how changes in certain factors (e.g., business risk factors, business outlook, or affiliation with related companies) will impact a company's stock price. As </w:t>
      </w:r>
      <w:r w:rsidDel="00000000" w:rsidR="00000000" w:rsidRPr="00000000">
        <w:rPr>
          <w:sz w:val="24"/>
          <w:szCs w:val="24"/>
          <w:rtl w:val="0"/>
        </w:rPr>
        <w:t xml:space="preserve">the current stock price implies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will assess whether future performance is attainable using the dynamic valuation model you build to formulate your buy/sell/hold decision.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spacing w:line="274" w:lineRule="auto"/>
        <w:ind w:left="219" w:firstLine="0"/>
        <w:rPr/>
      </w:pPr>
      <w:r w:rsidDel="00000000" w:rsidR="00000000" w:rsidRPr="00000000">
        <w:rPr>
          <w:color w:val="6f2f9f"/>
          <w:rtl w:val="0"/>
        </w:rPr>
        <w:t xml:space="preserve">COURSE MATERIALS</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 w:right="4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prescribed textbook for this course. Learning objectives will be illustrated through a series of class exercises. You may access all course materials, including class exercises and solutions to class exercises on LMS Brightspace.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4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may access a detailed listing of the sequence of topics, related materials, and related spreadsheets via LMS Brightspace. Do not forward or share materials with others.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spacing w:line="275" w:lineRule="auto"/>
        <w:ind w:left="219" w:firstLine="0"/>
        <w:rPr/>
      </w:pPr>
      <w:r w:rsidDel="00000000" w:rsidR="00000000" w:rsidRPr="00000000">
        <w:rPr>
          <w:color w:val="6f2f9f"/>
          <w:rtl w:val="0"/>
        </w:rPr>
        <w:t xml:space="preserve">ASSESSMENTS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3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final grade is calculated based 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9"/>
        </w:tabs>
        <w:spacing w:after="0" w:before="0" w:line="240" w:lineRule="auto"/>
        <w:ind w:left="3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Quizzes</w:t>
        <w:tab/>
        <w:t xml:space="preserve">15%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9"/>
        </w:tabs>
        <w:spacing w:after="0" w:before="0" w:line="240" w:lineRule="auto"/>
        <w:ind w:left="3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Take-Home Mid-Term Exam</w:t>
        <w:tab/>
        <w:t xml:space="preserve">30%</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9"/>
        </w:tabs>
        <w:spacing w:after="0" w:before="0" w:line="240" w:lineRule="auto"/>
        <w:ind w:left="3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Presentation</w:t>
        <w:tab/>
        <w:t xml:space="preserve">25%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9"/>
        </w:tabs>
        <w:spacing w:after="0" w:before="0" w:line="240" w:lineRule="auto"/>
        <w:ind w:left="3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Take-Home Final Exam</w:t>
        <w:tab/>
        <w:t xml:space="preserve">30%</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color w:val="7030a0"/>
          <w:sz w:val="24"/>
          <w:szCs w:val="24"/>
        </w:rPr>
      </w:pPr>
      <w:r w:rsidDel="00000000" w:rsidR="00000000" w:rsidRPr="00000000">
        <w:rPr>
          <w:b w:val="1"/>
          <w:color w:val="7030a0"/>
          <w:sz w:val="24"/>
          <w:szCs w:val="24"/>
          <w:rtl w:val="0"/>
        </w:rPr>
        <w:t xml:space="preserve">ACADEMIC INTEGRITY</w:t>
      </w:r>
    </w:p>
    <w:p w:rsidR="00000000" w:rsidDel="00000000" w:rsidP="00000000" w:rsidRDefault="00000000" w:rsidRPr="00000000" w14:paraId="0000002E">
      <w:pPr>
        <w:rPr>
          <w:sz w:val="24"/>
          <w:szCs w:val="24"/>
        </w:rPr>
      </w:pPr>
      <w:r w:rsidDel="00000000" w:rsidR="00000000" w:rsidRPr="00000000">
        <w:rPr>
          <w:sz w:val="24"/>
          <w:szCs w:val="24"/>
          <w:rtl w:val="0"/>
        </w:rPr>
        <w:t xml:space="preserve">Academic integrity and honesty is central to our mission as an educational institution. </w:t>
      </w:r>
      <w:hyperlink r:id="rId10">
        <w:r w:rsidDel="00000000" w:rsidR="00000000" w:rsidRPr="00000000">
          <w:rPr>
            <w:color w:val="1155cc"/>
            <w:sz w:val="24"/>
            <w:szCs w:val="24"/>
            <w:u w:val="single"/>
            <w:rtl w:val="0"/>
          </w:rPr>
          <w:t xml:space="preserve">The MBA &amp; Graduate Courses Code of Conduct</w:t>
        </w:r>
      </w:hyperlink>
      <w:r w:rsidDel="00000000" w:rsidR="00000000" w:rsidRPr="00000000">
        <w:rPr>
          <w:sz w:val="24"/>
          <w:szCs w:val="24"/>
          <w:rtl w:val="0"/>
        </w:rPr>
        <w:t xml:space="preserve">, which all students sign, therefore places particular emphasis on academic integrity. Notably this includes refraining from any method or means that provides an unfair advantage in exams or papers, and clearly acknowledging the work of others in your own work. As a reminder, the </w:t>
      </w:r>
      <w:hyperlink r:id="rId11">
        <w:r w:rsidDel="00000000" w:rsidR="00000000" w:rsidRPr="00000000">
          <w:rPr>
            <w:color w:val="1155cc"/>
            <w:sz w:val="24"/>
            <w:szCs w:val="24"/>
            <w:u w:val="single"/>
            <w:rtl w:val="0"/>
          </w:rPr>
          <w:t xml:space="preserve">entire Code of Conduct is available here</w:t>
        </w:r>
      </w:hyperlink>
      <w:r w:rsidDel="00000000" w:rsidR="00000000" w:rsidRPr="00000000">
        <w:rPr>
          <w:sz w:val="24"/>
          <w:szCs w:val="24"/>
          <w:rtl w:val="0"/>
        </w:rPr>
        <w:t xml:space="preserv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To help ensure the integrity of our learning community, prose assignments you submit to LMS Brightspace will be submitted to Turnitin. Turnitin will compare your submission to a database of prior submissions to Turnitin, current and archived Web pages, periodicals, journals, and publications. Additionally, your document will become part of the Turnitin database.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color w:val="7030a0"/>
          <w:sz w:val="24"/>
          <w:szCs w:val="24"/>
          <w:rtl w:val="0"/>
        </w:rPr>
        <w:t xml:space="preserve">STUDENT ACCESSIBILITY</w:t>
        <w:br w:type="textWrapping"/>
      </w:r>
      <w:r w:rsidDel="00000000" w:rsidR="00000000" w:rsidRPr="00000000">
        <w:rPr>
          <w:sz w:val="24"/>
          <w:szCs w:val="24"/>
          <w:rtl w:val="0"/>
        </w:rPr>
        <w:t xml:space="preserve">New York University is committed to providing equal educational opportunity and participation for students with disabilities. Students who are interested in applying for academic accommodations are advised to reach out to the Moses Center for Student Accessibility (CSA) as early as possible in the semester. If you already receive accommodations through CSA, you are encouraged to request your accommodation letters through the Moses portal as soon as possible.</w:t>
      </w:r>
    </w:p>
    <w:p w:rsidR="00000000" w:rsidDel="00000000" w:rsidP="00000000" w:rsidRDefault="00000000" w:rsidRPr="00000000" w14:paraId="00000033">
      <w:pPr>
        <w:spacing w:after="240" w:before="240" w:lineRule="auto"/>
        <w:rPr>
          <w:b w:val="1"/>
          <w:color w:val="7030a0"/>
          <w:sz w:val="24"/>
          <w:szCs w:val="24"/>
        </w:rPr>
      </w:pPr>
      <w:r w:rsidDel="00000000" w:rsidR="00000000" w:rsidRPr="00000000">
        <w:rPr>
          <w:sz w:val="24"/>
          <w:szCs w:val="24"/>
          <w:rtl w:val="0"/>
        </w:rPr>
        <w:t xml:space="preserve">Moses Center for Student Accessibility (CSA), 212-998-4980, </w:t>
      </w:r>
      <w:hyperlink r:id="rId12">
        <w:r w:rsidDel="00000000" w:rsidR="00000000" w:rsidRPr="00000000">
          <w:rPr>
            <w:color w:val="1155cc"/>
            <w:sz w:val="24"/>
            <w:szCs w:val="24"/>
            <w:u w:val="single"/>
            <w:rtl w:val="0"/>
          </w:rPr>
          <w:t xml:space="preserve">mosescsa@nyu.edu</w:t>
        </w:r>
      </w:hyperlink>
      <w:r w:rsidDel="00000000" w:rsidR="00000000" w:rsidRPr="00000000">
        <w:rPr>
          <w:sz w:val="24"/>
          <w:szCs w:val="24"/>
          <w:rtl w:val="0"/>
        </w:rPr>
        <w:t xml:space="preserve">, </w:t>
      </w:r>
      <w:hyperlink r:id="rId13">
        <w:r w:rsidDel="00000000" w:rsidR="00000000" w:rsidRPr="00000000">
          <w:rPr>
            <w:sz w:val="24"/>
            <w:szCs w:val="24"/>
            <w:u w:val="single"/>
            <w:rtl w:val="0"/>
          </w:rPr>
          <w:t xml:space="preserve">www.nyu.edu/csa</w:t>
        </w:r>
      </w:hyperlink>
      <w:r w:rsidDel="00000000" w:rsidR="00000000" w:rsidRPr="00000000">
        <w:rPr>
          <w:rtl w:val="0"/>
        </w:rPr>
      </w:r>
    </w:p>
    <w:p w:rsidR="00000000" w:rsidDel="00000000" w:rsidP="00000000" w:rsidRDefault="00000000" w:rsidRPr="00000000" w14:paraId="00000034">
      <w:pPr>
        <w:rPr>
          <w:color w:val="1155cc"/>
          <w:sz w:val="24"/>
          <w:szCs w:val="24"/>
          <w:u w:val="single"/>
        </w:rPr>
      </w:pPr>
      <w:r w:rsidDel="00000000" w:rsidR="00000000" w:rsidRPr="00000000">
        <w:rPr>
          <w:sz w:val="24"/>
          <w:szCs w:val="24"/>
          <w:rtl w:val="0"/>
        </w:rPr>
        <w:t xml:space="preserve">If you will require academic accommodation of any kind during this course, you must notify me at the beginning of the course and provide a letter from the Moses Center for Student Accessibility (</w:t>
      </w:r>
      <w:r w:rsidDel="00000000" w:rsidR="00000000" w:rsidRPr="00000000">
        <w:rPr>
          <w:rtl w:val="0"/>
        </w:rPr>
        <w:t xml:space="preserve">212-998-4980</w:t>
      </w:r>
      <w:r w:rsidDel="00000000" w:rsidR="00000000" w:rsidRPr="00000000">
        <w:rPr>
          <w:sz w:val="24"/>
          <w:szCs w:val="24"/>
          <w:rtl w:val="0"/>
        </w:rPr>
        <w:t xml:space="preserve">, </w:t>
      </w:r>
      <w:r w:rsidDel="00000000" w:rsidR="00000000" w:rsidRPr="00000000">
        <w:rPr>
          <w:rtl w:val="0"/>
        </w:rPr>
        <w:t xml:space="preserve">mosescsa@nyu.edu</w:t>
      </w:r>
      <w:r w:rsidDel="00000000" w:rsidR="00000000" w:rsidRPr="00000000">
        <w:rPr>
          <w:sz w:val="24"/>
          <w:szCs w:val="24"/>
          <w:rtl w:val="0"/>
        </w:rPr>
        <w:t xml:space="preserve">)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35">
      <w:pPr>
        <w:rPr>
          <w:b w:val="1"/>
          <w:color w:val="7030a0"/>
          <w:sz w:val="24"/>
          <w:szCs w:val="24"/>
        </w:rPr>
      </w:pPr>
      <w:r w:rsidDel="00000000" w:rsidR="00000000" w:rsidRPr="00000000">
        <w:rPr>
          <w:b w:val="1"/>
          <w:color w:val="7030a0"/>
          <w:sz w:val="24"/>
          <w:szCs w:val="24"/>
          <w:rtl w:val="0"/>
        </w:rPr>
        <w:t xml:space="preserve"> </w:t>
      </w:r>
    </w:p>
    <w:p w:rsidR="00000000" w:rsidDel="00000000" w:rsidP="00000000" w:rsidRDefault="00000000" w:rsidRPr="00000000" w14:paraId="00000036">
      <w:pPr>
        <w:rPr>
          <w:sz w:val="24"/>
          <w:szCs w:val="24"/>
        </w:rPr>
      </w:pPr>
      <w:r w:rsidDel="00000000" w:rsidR="00000000" w:rsidRPr="00000000">
        <w:rPr>
          <w:b w:val="1"/>
          <w:color w:val="7030a0"/>
          <w:sz w:val="24"/>
          <w:szCs w:val="24"/>
          <w:rtl w:val="0"/>
        </w:rPr>
        <w:t xml:space="preserve">STUDENT WELLNESS</w:t>
      </w:r>
      <w:r w:rsidDel="00000000" w:rsidR="00000000" w:rsidRPr="00000000">
        <w:rPr>
          <w:rtl w:val="0"/>
        </w:rPr>
      </w:r>
    </w:p>
    <w:p w:rsidR="00000000" w:rsidDel="00000000" w:rsidP="00000000" w:rsidRDefault="00000000" w:rsidRPr="00000000" w14:paraId="00000037">
      <w:pPr>
        <w:rPr/>
      </w:pPr>
      <w:r w:rsidDel="00000000" w:rsidR="00000000" w:rsidRPr="00000000">
        <w:rPr>
          <w:sz w:val="24"/>
          <w:szCs w:val="24"/>
          <w:rtl w:val="0"/>
        </w:rPr>
        <w:t xml:space="preserve">Classes can get stressful. Please reach out if you need help. </w:t>
      </w:r>
      <w:r w:rsidDel="00000000" w:rsidR="00000000" w:rsidRPr="00000000">
        <w:rPr>
          <w:rtl w:val="0"/>
        </w:rPr>
        <w:t xml:space="preserve">The NYU Wellness Exchange offers mental health support. You can reach them 24/7 at 212 443 9999, or via the "NYU Wellness Exchange" app. There are also drop-in hours and appointments. Find out more at</w:t>
      </w:r>
      <w:hyperlink r:id="rId16">
        <w:r w:rsidDel="00000000" w:rsidR="00000000" w:rsidRPr="00000000">
          <w:rPr>
            <w:rtl w:val="0"/>
          </w:rPr>
          <w:t xml:space="preserve"> </w:t>
        </w:r>
      </w:hyperlink>
      <w:hyperlink r:id="rId17">
        <w:r w:rsidDel="00000000" w:rsidR="00000000" w:rsidRPr="00000000">
          <w:rPr>
            <w:color w:val="1155cc"/>
            <w:sz w:val="24"/>
            <w:szCs w:val="24"/>
            <w:u w:val="single"/>
            <w:rtl w:val="0"/>
          </w:rPr>
          <w:t xml:space="preserve">http://www.nyu.edu/students/health-and-wellness/counseling-services.html</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right="31"/>
        <w:rPr/>
      </w:pPr>
      <w:r w:rsidDel="00000000" w:rsidR="00000000" w:rsidRPr="00000000">
        <w:rPr>
          <w:b w:val="1"/>
          <w:color w:val="7030a0"/>
          <w:rtl w:val="0"/>
        </w:rPr>
        <w:t xml:space="preserve">DIVERSITY &amp; INCLUSION</w:t>
      </w:r>
      <w:r w:rsidDel="00000000" w:rsidR="00000000" w:rsidRPr="00000000">
        <w:rPr>
          <w:rtl w:val="0"/>
        </w:rPr>
      </w:r>
    </w:p>
    <w:p w:rsidR="00000000" w:rsidDel="00000000" w:rsidP="00000000" w:rsidRDefault="00000000" w:rsidRPr="00000000" w14:paraId="0000003B">
      <w:pPr>
        <w:ind w:right="31"/>
        <w:rPr>
          <w:b w:val="1"/>
          <w:color w:val="7030a0"/>
        </w:rPr>
        <w:sectPr>
          <w:footerReference r:id="rId18" w:type="default"/>
          <w:type w:val="nextPage"/>
          <w:pgSz w:h="16860" w:w="11920" w:orient="portrait"/>
          <w:pgMar w:bottom="1620" w:top="1340" w:left="1100" w:right="1020" w:header="0" w:footer="726"/>
          <w:pgNumType w:start="2"/>
        </w:sectPr>
      </w:pPr>
      <w:r w:rsidDel="00000000" w:rsidR="00000000" w:rsidRPr="00000000">
        <w:rPr>
          <w:rtl w:val="0"/>
        </w:rPr>
        <w:t xml:space="preserve">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  By participating in this course, it is the expectation that everyone commits to making this an inclusive learning environment for all.</w:t>
      </w:r>
      <w:r w:rsidDel="00000000" w:rsidR="00000000" w:rsidRPr="00000000">
        <w:rPr>
          <w:b w:val="1"/>
          <w:color w:val="7030a0"/>
          <w:rtl w:val="0"/>
        </w:rPr>
        <w:t xml:space="preserve"> </w:t>
      </w:r>
    </w:p>
    <w:p w:rsidR="00000000" w:rsidDel="00000000" w:rsidP="00000000" w:rsidRDefault="00000000" w:rsidRPr="00000000" w14:paraId="0000003C">
      <w:pPr>
        <w:pStyle w:val="Heading1"/>
        <w:spacing w:after="42" w:before="69" w:lineRule="auto"/>
        <w:ind w:left="119" w:firstLine="0"/>
        <w:rPr/>
      </w:pPr>
      <w:r w:rsidDel="00000000" w:rsidR="00000000" w:rsidRPr="00000000">
        <w:rPr>
          <w:color w:val="6f2f9f"/>
          <w:rtl w:val="0"/>
        </w:rPr>
        <w:t xml:space="preserve">TENTATIVE CLASS SCHEDULE</w:t>
      </w:r>
      <w:r w:rsidDel="00000000" w:rsidR="00000000" w:rsidRPr="00000000">
        <w:rPr>
          <w:rtl w:val="0"/>
        </w:rPr>
      </w:r>
    </w:p>
    <w:tbl>
      <w:tblPr>
        <w:tblStyle w:val="Table1"/>
        <w:tblW w:w="9600.0" w:type="dxa"/>
        <w:jc w:val="left"/>
        <w:tblInd w:w="2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
        <w:gridCol w:w="1170"/>
        <w:gridCol w:w="45"/>
        <w:gridCol w:w="7865"/>
        <w:gridCol w:w="98"/>
        <w:tblGridChange w:id="0">
          <w:tblGrid>
            <w:gridCol w:w="422"/>
            <w:gridCol w:w="1170"/>
            <w:gridCol w:w="45"/>
            <w:gridCol w:w="7865"/>
            <w:gridCol w:w="98"/>
          </w:tblGrid>
        </w:tblGridChange>
      </w:tblGrid>
      <w:tr>
        <w:trPr>
          <w:cantSplit w:val="0"/>
          <w:trHeight w:val="527" w:hRule="atLeast"/>
          <w:tblHeader w:val="0"/>
        </w:trPr>
        <w:tc>
          <w:tcPr>
            <w:gridSpan w:val="3"/>
            <w:shd w:fill="dadada" w:val="clear"/>
          </w:tcPr>
          <w:bookmarkStart w:colFirst="0" w:colLast="0" w:name="bookmark=id.gjdgxs" w:id="0"/>
          <w:bookmarkEnd w:id="0"/>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4" w:right="0" w:firstLine="0"/>
              <w:jc w:val="left"/>
              <w:rPr>
                <w:rFonts w:ascii="Constantia" w:cs="Constantia" w:eastAsia="Constantia" w:hAnsi="Constantia"/>
                <w:b w:val="1"/>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4"/>
                <w:szCs w:val="24"/>
                <w:u w:val="none"/>
                <w:shd w:fill="auto" w:val="clear"/>
                <w:vertAlign w:val="baseline"/>
                <w:rtl w:val="0"/>
              </w:rPr>
              <w:t xml:space="preserve">Week</w:t>
            </w:r>
          </w:p>
        </w:tc>
        <w:tc>
          <w:tcPr>
            <w:gridSpan w:val="2"/>
            <w:shd w:fill="dadada" w:val="clear"/>
          </w:tcPr>
          <w:bookmarkStart w:colFirst="0" w:colLast="0" w:name="bookmark=id.30j0zll" w:id="1"/>
          <w:bookmarkEnd w:id="1"/>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4" w:right="0" w:firstLine="0"/>
              <w:jc w:val="left"/>
              <w:rPr>
                <w:rFonts w:ascii="Constantia" w:cs="Constantia" w:eastAsia="Constantia" w:hAnsi="Constantia"/>
                <w:b w:val="1"/>
                <w:i w:val="0"/>
                <w:smallCaps w:val="0"/>
                <w:strike w:val="0"/>
                <w:color w:val="00000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4"/>
                <w:szCs w:val="24"/>
                <w:u w:val="none"/>
                <w:shd w:fill="auto" w:val="clear"/>
                <w:vertAlign w:val="baseline"/>
                <w:rtl w:val="0"/>
              </w:rPr>
              <w:t xml:space="preserve">Topics</w:t>
            </w:r>
          </w:p>
        </w:tc>
      </w:tr>
      <w:tr>
        <w:trPr>
          <w:cantSplit w:val="0"/>
          <w:trHeight w:val="340" w:hRule="atLeast"/>
          <w:tblHeader w:val="0"/>
        </w:trPr>
        <w:tc>
          <w:tcPr>
            <w:gridSpan w:val="5"/>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 I: Building financial models for various decision contexts</w:t>
            </w:r>
          </w:p>
        </w:tc>
      </w:tr>
      <w:tr>
        <w:trPr>
          <w:cantSplit w:val="0"/>
          <w:trHeight w:val="1574" w:hRule="atLeast"/>
          <w:tblHeader w:val="0"/>
        </w:trPr>
        <w:tc>
          <w:tcPr>
            <w:tcBorders>
              <w:right w:color="000000" w:space="0" w:sz="0" w:val="nil"/>
            </w:tcBorders>
          </w:tcPr>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sz w:val="27"/>
                <w:szCs w:val="27"/>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1.</w:t>
            </w:r>
          </w:p>
        </w:tc>
        <w:tc>
          <w:tcPr>
            <w:gridSpan w:val="2"/>
            <w:tcBorders>
              <w:left w:color="000000" w:space="0" w:sz="0" w:val="nil"/>
            </w:tcBorders>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1/30 &amp; 2/1</w:t>
            </w:r>
          </w:p>
        </w:tc>
        <w:tc>
          <w:tcPr>
            <w:gridSpan w:val="2"/>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5266"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 to Financial Modeling</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9"/>
                <w:tab w:val="left" w:leader="none" w:pos="360"/>
              </w:tabs>
              <w:spacing w:after="0" w:before="0" w:line="240" w:lineRule="auto"/>
              <w:ind w:left="736" w:right="5356" w:hanging="737"/>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overview</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and equity valuation overview</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best practice</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6.99999999999994"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 best </w:t>
            </w:r>
            <w:r w:rsidDel="00000000" w:rsidR="00000000" w:rsidRPr="00000000">
              <w:rPr>
                <w:sz w:val="24"/>
                <w:szCs w:val="24"/>
                <w:rtl w:val="0"/>
              </w:rPr>
              <w:t xml:space="preserve">practices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shortcuts</w:t>
            </w:r>
          </w:p>
        </w:tc>
      </w:tr>
      <w:tr>
        <w:trPr>
          <w:cantSplit w:val="0"/>
          <w:trHeight w:val="923" w:hRule="atLeast"/>
          <w:tblHeader w:val="0"/>
        </w:trPr>
        <w:tc>
          <w:tcPr>
            <w:tcBorders>
              <w:right w:color="000000" w:space="0" w:sz="0" w:val="nil"/>
            </w:tcBorders>
          </w:tcPr>
          <w:p w:rsidR="00000000" w:rsidDel="00000000" w:rsidP="00000000" w:rsidRDefault="00000000" w:rsidRPr="00000000" w14:paraId="00000054">
            <w:pPr>
              <w:rPr>
                <w:sz w:val="24"/>
                <w:szCs w:val="24"/>
              </w:rPr>
            </w:pPr>
            <w:r w:rsidDel="00000000" w:rsidR="00000000" w:rsidRPr="00000000">
              <w:rPr>
                <w:sz w:val="24"/>
                <w:szCs w:val="24"/>
                <w:rtl w:val="0"/>
              </w:rPr>
              <w:t xml:space="preserve">2.</w:t>
            </w:r>
          </w:p>
        </w:tc>
        <w:tc>
          <w:tcPr>
            <w:gridSpan w:val="2"/>
            <w:tcBorders>
              <w:left w:color="000000" w:space="0" w:sz="0" w:val="nil"/>
            </w:tcBorders>
          </w:tcPr>
          <w:p w:rsidR="00000000" w:rsidDel="00000000" w:rsidP="00000000" w:rsidRDefault="00000000" w:rsidRPr="00000000" w14:paraId="00000055">
            <w:pPr>
              <w:rPr/>
            </w:pPr>
            <w:r w:rsidDel="00000000" w:rsidR="00000000" w:rsidRPr="00000000">
              <w:rPr>
                <w:rtl w:val="0"/>
              </w:rPr>
              <w:t xml:space="preserve">2/6 &amp; 2/8</w:t>
            </w:r>
          </w:p>
        </w:tc>
        <w:tc>
          <w:tcPr>
            <w:gridSpan w:val="2"/>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Working Capital Management</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Short-term liquidity</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Receivable/Payable/Inventory management</w:t>
            </w:r>
          </w:p>
        </w:tc>
      </w:tr>
      <w:tr>
        <w:trPr>
          <w:cantSplit w:val="0"/>
          <w:trHeight w:val="1149" w:hRule="atLeast"/>
          <w:tblHeader w:val="0"/>
        </w:trPr>
        <w:tc>
          <w:tcPr>
            <w:tcBorders>
              <w:right w:color="000000" w:space="0" w:sz="0" w:val="nil"/>
            </w:tcBorders>
          </w:tcPr>
          <w:p w:rsidR="00000000" w:rsidDel="00000000" w:rsidP="00000000" w:rsidRDefault="00000000" w:rsidRPr="00000000" w14:paraId="0000005B">
            <w:pPr>
              <w:rPr>
                <w:sz w:val="24"/>
                <w:szCs w:val="24"/>
              </w:rPr>
            </w:pPr>
            <w:r w:rsidDel="00000000" w:rsidR="00000000" w:rsidRPr="00000000">
              <w:rPr>
                <w:sz w:val="24"/>
                <w:szCs w:val="24"/>
                <w:rtl w:val="0"/>
              </w:rPr>
              <w:t xml:space="preserve">3.</w:t>
            </w:r>
          </w:p>
        </w:tc>
        <w:tc>
          <w:tcPr>
            <w:gridSpan w:val="2"/>
            <w:tcBorders>
              <w:left w:color="000000" w:space="0" w:sz="0" w:val="nil"/>
            </w:tcBorders>
          </w:tcPr>
          <w:p w:rsidR="00000000" w:rsidDel="00000000" w:rsidP="00000000" w:rsidRDefault="00000000" w:rsidRPr="00000000" w14:paraId="0000005C">
            <w:pPr>
              <w:rPr/>
            </w:pPr>
            <w:r w:rsidDel="00000000" w:rsidR="00000000" w:rsidRPr="00000000">
              <w:rPr>
                <w:rtl w:val="0"/>
              </w:rPr>
              <w:t xml:space="preserve">2/13 &amp; 2/15</w:t>
            </w:r>
          </w:p>
        </w:tc>
        <w:tc>
          <w:tcPr>
            <w:gridSpan w:val="2"/>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Start-up Businesses</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Start-up budgeting</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Presenting financial models</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for start-up businesses</w:t>
            </w:r>
          </w:p>
        </w:tc>
      </w:tr>
      <w:tr>
        <w:trPr>
          <w:cantSplit w:val="0"/>
          <w:trHeight w:val="1156" w:hRule="atLeast"/>
          <w:tblHeader w:val="0"/>
        </w:trPr>
        <w:tc>
          <w:tcPr>
            <w:tcBorders>
              <w:right w:color="000000" w:space="0" w:sz="0" w:val="nil"/>
            </w:tcBorders>
          </w:tcPr>
          <w:p w:rsidR="00000000" w:rsidDel="00000000" w:rsidP="00000000" w:rsidRDefault="00000000" w:rsidRPr="00000000" w14:paraId="00000063">
            <w:pPr>
              <w:rPr>
                <w:sz w:val="24"/>
                <w:szCs w:val="24"/>
              </w:rPr>
            </w:pPr>
            <w:r w:rsidDel="00000000" w:rsidR="00000000" w:rsidRPr="00000000">
              <w:rPr>
                <w:sz w:val="24"/>
                <w:szCs w:val="24"/>
                <w:rtl w:val="0"/>
              </w:rPr>
              <w:t xml:space="preserve">4.</w:t>
            </w:r>
          </w:p>
        </w:tc>
        <w:tc>
          <w:tcPr>
            <w:gridSpan w:val="2"/>
            <w:tcBorders>
              <w:left w:color="000000" w:space="0" w:sz="0" w:val="nil"/>
            </w:tcBorders>
          </w:tcPr>
          <w:p w:rsidR="00000000" w:rsidDel="00000000" w:rsidP="00000000" w:rsidRDefault="00000000" w:rsidRPr="00000000" w14:paraId="00000064">
            <w:pPr>
              <w:rPr/>
            </w:pPr>
            <w:r w:rsidDel="00000000" w:rsidR="00000000" w:rsidRPr="00000000">
              <w:rPr>
                <w:rtl w:val="0"/>
              </w:rPr>
              <w:t xml:space="preserve">2/20 &amp; 2/22</w:t>
            </w:r>
          </w:p>
        </w:tc>
        <w:tc>
          <w:tcPr>
            <w:gridSpan w:val="2"/>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financial forecasts</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up</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operating performance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87" w:hRule="atLeast"/>
          <w:tblHeader w:val="0"/>
        </w:trPr>
        <w:tc>
          <w:tcPr>
            <w:tcBorders>
              <w:right w:color="000000" w:space="0" w:sz="0" w:val="nil"/>
            </w:tcBorders>
          </w:tcPr>
          <w:p w:rsidR="00000000" w:rsidDel="00000000" w:rsidP="00000000" w:rsidRDefault="00000000" w:rsidRPr="00000000" w14:paraId="0000006B">
            <w:pPr>
              <w:rPr>
                <w:sz w:val="24"/>
                <w:szCs w:val="24"/>
              </w:rPr>
            </w:pPr>
            <w:r w:rsidDel="00000000" w:rsidR="00000000" w:rsidRPr="00000000">
              <w:rPr>
                <w:sz w:val="24"/>
                <w:szCs w:val="24"/>
                <w:rtl w:val="0"/>
              </w:rPr>
              <w:t xml:space="preserve">5.</w:t>
            </w:r>
          </w:p>
        </w:tc>
        <w:tc>
          <w:tcPr>
            <w:gridSpan w:val="2"/>
            <w:tcBorders>
              <w:left w:color="000000" w:space="0" w:sz="0" w:val="nil"/>
            </w:tcBorders>
          </w:tcPr>
          <w:p w:rsidR="00000000" w:rsidDel="00000000" w:rsidP="00000000" w:rsidRDefault="00000000" w:rsidRPr="00000000" w14:paraId="0000006C">
            <w:pPr>
              <w:rPr/>
            </w:pPr>
            <w:r w:rsidDel="00000000" w:rsidR="00000000" w:rsidRPr="00000000">
              <w:rPr>
                <w:rtl w:val="0"/>
              </w:rPr>
              <w:t xml:space="preserve">2/27 &amp; 2/29</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financial forecasts (cont.)</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0"/>
                <w:tab w:val="left" w:leader="none" w:pos="751"/>
              </w:tabs>
              <w:spacing w:after="0" w:before="0" w:line="240" w:lineRule="auto"/>
              <w:ind w:left="751" w:right="0" w:hanging="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asset intensity</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debt</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0"/>
                <w:tab w:val="left" w:leader="none" w:pos="751"/>
              </w:tabs>
              <w:spacing w:after="0" w:before="0" w:line="240" w:lineRule="auto"/>
              <w:ind w:left="751" w:right="0" w:hanging="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taxes</w:t>
            </w:r>
          </w:p>
        </w:tc>
      </w:tr>
      <w:tr>
        <w:trPr>
          <w:cantSplit w:val="0"/>
          <w:trHeight w:val="687" w:hRule="atLeast"/>
          <w:tblHeader w:val="0"/>
        </w:trPr>
        <w:tc>
          <w:tcPr>
            <w:tcBorders>
              <w:right w:color="000000" w:space="0" w:sz="0" w:val="nil"/>
            </w:tcBorders>
          </w:tcPr>
          <w:p w:rsidR="00000000" w:rsidDel="00000000" w:rsidP="00000000" w:rsidRDefault="00000000" w:rsidRPr="00000000" w14:paraId="00000073">
            <w:pPr>
              <w:rPr>
                <w:sz w:val="24"/>
                <w:szCs w:val="24"/>
              </w:rPr>
            </w:pPr>
            <w:r w:rsidDel="00000000" w:rsidR="00000000" w:rsidRPr="00000000">
              <w:rPr>
                <w:sz w:val="24"/>
                <w:szCs w:val="24"/>
                <w:rtl w:val="0"/>
              </w:rPr>
              <w:t xml:space="preserve">6.</w:t>
            </w:r>
          </w:p>
        </w:tc>
        <w:tc>
          <w:tcPr>
            <w:gridSpan w:val="2"/>
            <w:tcBorders>
              <w:left w:color="000000" w:space="0" w:sz="0" w:val="nil"/>
            </w:tcBorders>
          </w:tcPr>
          <w:p w:rsidR="00000000" w:rsidDel="00000000" w:rsidP="00000000" w:rsidRDefault="00000000" w:rsidRPr="00000000" w14:paraId="00000074">
            <w:pPr>
              <w:rPr/>
            </w:pPr>
            <w:r w:rsidDel="00000000" w:rsidR="00000000" w:rsidRPr="00000000">
              <w:rPr>
                <w:rtl w:val="0"/>
              </w:rPr>
              <w:t xml:space="preserve">3/5 &amp; 3/7</w:t>
            </w:r>
          </w:p>
        </w:tc>
        <w:tc>
          <w:tcPr>
            <w:gridSpan w:val="2"/>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financial forecasts (cont.)</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review</w:t>
            </w:r>
          </w:p>
        </w:tc>
      </w:tr>
      <w:tr>
        <w:trPr>
          <w:cantSplit w:val="0"/>
          <w:trHeight w:val="1168" w:hRule="atLeast"/>
          <w:tblHeader w:val="0"/>
        </w:trPr>
        <w:tc>
          <w:tcPr>
            <w:tcBorders>
              <w:right w:color="000000" w:space="0" w:sz="0" w:val="nil"/>
            </w:tcBorders>
          </w:tcPr>
          <w:p w:rsidR="00000000" w:rsidDel="00000000" w:rsidP="00000000" w:rsidRDefault="00000000" w:rsidRPr="00000000" w14:paraId="00000079">
            <w:pPr>
              <w:rPr>
                <w:sz w:val="24"/>
                <w:szCs w:val="24"/>
              </w:rPr>
            </w:pPr>
            <w:r w:rsidDel="00000000" w:rsidR="00000000" w:rsidRPr="00000000">
              <w:rPr>
                <w:sz w:val="24"/>
                <w:szCs w:val="24"/>
                <w:rtl w:val="0"/>
              </w:rPr>
              <w:t xml:space="preserve">7.</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7A">
            <w:pPr>
              <w:rPr/>
            </w:pPr>
            <w:r w:rsidDel="00000000" w:rsidR="00000000" w:rsidRPr="00000000">
              <w:rPr>
                <w:rtl w:val="0"/>
              </w:rPr>
              <w:t xml:space="preserve">3/12 &amp; 3/14</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Exam</w:t>
            </w:r>
            <w:r w:rsidDel="00000000" w:rsidR="00000000" w:rsidRPr="00000000">
              <w:rPr>
                <w:rtl w:val="0"/>
              </w:rPr>
            </w:r>
          </w:p>
        </w:tc>
      </w:tr>
      <w:tr>
        <w:trPr>
          <w:cantSplit w:val="0"/>
          <w:trHeight w:val="405" w:hRule="atLeast"/>
          <w:tblHeader w:val="0"/>
        </w:trPr>
        <w:tc>
          <w:tcPr>
            <w:tcBorders>
              <w:right w:color="000000" w:space="0" w:sz="0" w:val="nil"/>
            </w:tcBorders>
          </w:tcPr>
          <w:p w:rsidR="00000000" w:rsidDel="00000000" w:rsidP="00000000" w:rsidRDefault="00000000" w:rsidRPr="00000000" w14:paraId="0000007E">
            <w:pPr>
              <w:rPr>
                <w:sz w:val="24"/>
                <w:szCs w:val="24"/>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7F">
            <w:pPr>
              <w:rPr/>
            </w:pPr>
            <w:r w:rsidDel="00000000" w:rsidR="00000000" w:rsidRPr="00000000">
              <w:rPr>
                <w:rtl w:val="0"/>
              </w:rPr>
              <w:t xml:space="preserve">3/19 &amp; 3/21</w:t>
            </w:r>
          </w:p>
        </w:tc>
        <w:tc>
          <w:tcPr>
            <w:gridSpan w:val="2"/>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Spring break</w:t>
            </w:r>
            <w:r w:rsidDel="00000000" w:rsidR="00000000" w:rsidRPr="00000000">
              <w:rPr>
                <w:rtl w:val="0"/>
              </w:rPr>
            </w:r>
          </w:p>
        </w:tc>
      </w:tr>
      <w:tr>
        <w:trPr>
          <w:cantSplit w:val="0"/>
          <w:trHeight w:val="1168" w:hRule="atLeast"/>
          <w:tblHeader w:val="0"/>
        </w:trPr>
        <w:tc>
          <w:tcPr>
            <w:tcBorders>
              <w:right w:color="000000" w:space="0" w:sz="0" w:val="nil"/>
            </w:tcBorders>
          </w:tcPr>
          <w:p w:rsidR="00000000" w:rsidDel="00000000" w:rsidP="00000000" w:rsidRDefault="00000000" w:rsidRPr="00000000" w14:paraId="00000083">
            <w:pPr>
              <w:rPr>
                <w:sz w:val="24"/>
                <w:szCs w:val="24"/>
              </w:rPr>
            </w:pPr>
            <w:r w:rsidDel="00000000" w:rsidR="00000000" w:rsidRPr="00000000">
              <w:rPr>
                <w:sz w:val="24"/>
                <w:szCs w:val="24"/>
                <w:rtl w:val="0"/>
              </w:rPr>
              <w:t xml:space="preserve">8.</w:t>
            </w:r>
          </w:p>
        </w:tc>
        <w:tc>
          <w:tcPr>
            <w:gridSpan w:val="2"/>
            <w:tcBorders>
              <w:left w:color="000000" w:space="0" w:sz="0" w:val="nil"/>
            </w:tcBorders>
          </w:tcPr>
          <w:p w:rsidR="00000000" w:rsidDel="00000000" w:rsidP="00000000" w:rsidRDefault="00000000" w:rsidRPr="00000000" w14:paraId="00000084">
            <w:pPr>
              <w:rPr/>
            </w:pPr>
            <w:r w:rsidDel="00000000" w:rsidR="00000000" w:rsidRPr="00000000">
              <w:rPr>
                <w:rtl w:val="0"/>
              </w:rPr>
              <w:t xml:space="preserve">3/26 &amp; 3/28</w:t>
            </w:r>
          </w:p>
        </w:tc>
        <w:tc>
          <w:tcPr>
            <w:gridSpan w:val="2"/>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financial forecasts (cont.)</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equity method investment</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non-controlling interest holders</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3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equity and number of shares</w:t>
            </w:r>
          </w:p>
        </w:tc>
      </w:tr>
      <w:tr>
        <w:trPr>
          <w:cantSplit w:val="0"/>
          <w:trHeight w:val="933" w:hRule="atLeast"/>
          <w:tblHeader w:val="0"/>
        </w:trPr>
        <w:tc>
          <w:tcPr>
            <w:tcBorders>
              <w:right w:color="000000" w:space="0" w:sz="0" w:val="nil"/>
            </w:tcBorders>
          </w:tcPr>
          <w:p w:rsidR="00000000" w:rsidDel="00000000" w:rsidP="00000000" w:rsidRDefault="00000000" w:rsidRPr="00000000" w14:paraId="0000008B">
            <w:pPr>
              <w:rPr>
                <w:sz w:val="24"/>
                <w:szCs w:val="24"/>
              </w:rPr>
            </w:pPr>
            <w:r w:rsidDel="00000000" w:rsidR="00000000" w:rsidRPr="00000000">
              <w:rPr>
                <w:sz w:val="24"/>
                <w:szCs w:val="24"/>
                <w:rtl w:val="0"/>
              </w:rPr>
              <w:t xml:space="preserve">9.</w:t>
            </w:r>
          </w:p>
        </w:tc>
        <w:tc>
          <w:tcPr>
            <w:gridSpan w:val="2"/>
            <w:tcBorders>
              <w:left w:color="000000" w:space="0" w:sz="0" w:val="nil"/>
            </w:tcBorders>
          </w:tcPr>
          <w:p w:rsidR="00000000" w:rsidDel="00000000" w:rsidP="00000000" w:rsidRDefault="00000000" w:rsidRPr="00000000" w14:paraId="0000008C">
            <w:pPr>
              <w:rPr/>
            </w:pPr>
            <w:r w:rsidDel="00000000" w:rsidR="00000000" w:rsidRPr="00000000">
              <w:rPr>
                <w:rtl w:val="0"/>
              </w:rPr>
              <w:t xml:space="preserve">4/2 &amp; 4/4</w:t>
            </w:r>
          </w:p>
        </w:tc>
        <w:tc>
          <w:tcPr>
            <w:gridSpan w:val="2"/>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Forecasting statements – a comprehensive case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
              </w:tabs>
              <w:spacing w:after="0" w:before="79" w:line="240" w:lineRule="auto"/>
              <w:ind w:left="3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7 steps in building financial statements for a selected listed company</w:t>
            </w:r>
          </w:p>
        </w:tc>
      </w:tr>
      <w:tr>
        <w:trPr>
          <w:cantSplit w:val="0"/>
          <w:trHeight w:val="933" w:hRule="atLeast"/>
          <w:tblHeader w:val="0"/>
        </w:trPr>
        <w:tc>
          <w:tcPr>
            <w:tcBorders>
              <w:right w:color="000000" w:space="0" w:sz="0" w:val="nil"/>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&amp; 4/11</w:t>
            </w:r>
          </w:p>
        </w:tc>
        <w:tc>
          <w:tcPr>
            <w:gridSpan w:val="2"/>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Forecasting statements – a comprehensive case (cont.)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7 steps in building financial statements for a selected listed company</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6" w:right="0" w:firstLine="0"/>
              <w:jc w:val="left"/>
              <w:rPr>
                <w:sz w:val="24"/>
                <w:szCs w:val="24"/>
              </w:rPr>
            </w:pPr>
            <w:r w:rsidDel="00000000" w:rsidR="00000000" w:rsidRPr="00000000">
              <w:rPr>
                <w:rtl w:val="0"/>
              </w:rPr>
            </w:r>
          </w:p>
        </w:tc>
      </w:tr>
      <w:tr>
        <w:trPr>
          <w:cantSplit w:val="0"/>
          <w:trHeight w:val="405" w:hRule="atLeast"/>
          <w:tblHeader w:val="0"/>
        </w:trPr>
        <w:tc>
          <w:tcPr>
            <w:gridSpan w:val="5"/>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 II: Financial modeling for equity valuation</w:t>
            </w:r>
          </w:p>
        </w:tc>
      </w:tr>
      <w:tr>
        <w:trPr>
          <w:cantSplit w:val="0"/>
          <w:trHeight w:val="1823" w:hRule="atLeast"/>
          <w:tblHeader w:val="0"/>
        </w:trPr>
        <w:tc>
          <w:tcPr>
            <w:tcBorders>
              <w:right w:color="000000" w:space="0" w:sz="0" w:val="nil"/>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gridSpan w:val="2"/>
            <w:tcBorders>
              <w:left w:color="000000" w:space="0" w:sz="0" w:val="nil"/>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4/16 &amp; 4/18</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Connecting Financial Modeling with Equity Valuation</w:t>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34"/>
                <w:tab w:val="left" w:leader="none" w:pos="735"/>
              </w:tabs>
              <w:spacing w:after="0" w:before="0" w:line="240" w:lineRule="auto"/>
              <w:ind w:left="734" w:right="0" w:hanging="3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Stock price and accounting variables</w:t>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46"/>
                <w:tab w:val="left" w:leader="none" w:pos="747"/>
              </w:tabs>
              <w:spacing w:after="0" w:before="89" w:line="240" w:lineRule="auto"/>
              <w:ind w:left="746" w:right="0" w:hanging="3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w:t>
            </w:r>
            <w:r w:rsidDel="00000000" w:rsidR="00000000" w:rsidRPr="00000000">
              <w:rPr>
                <w:sz w:val="24"/>
                <w:szCs w:val="24"/>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Dividend Discount Model</w:t>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2"/>
                <w:tab w:val="left" w:leader="none" w:pos="723"/>
              </w:tabs>
              <w:spacing w:after="0" w:before="89" w:line="240" w:lineRule="auto"/>
              <w:ind w:left="722"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relative valuation (price-multiples)</w:t>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2"/>
                <w:tab w:val="left" w:leader="none" w:pos="723"/>
              </w:tabs>
              <w:spacing w:after="0" w:before="89" w:line="240" w:lineRule="auto"/>
              <w:ind w:left="722" w:right="0" w:hanging="3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Asset-based Valuation Model</w:t>
            </w:r>
          </w:p>
        </w:tc>
      </w:tr>
      <w:tr>
        <w:trPr>
          <w:cantSplit w:val="0"/>
          <w:trHeight w:val="1617" w:hRule="atLeast"/>
          <w:tblHeader w:val="0"/>
        </w:trPr>
        <w:tc>
          <w:tcPr>
            <w:gridSpan w:val="2"/>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4/2</w:t>
            </w: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 4/25</w:t>
            </w:r>
            <w:r w:rsidDel="00000000" w:rsidR="00000000" w:rsidRPr="00000000">
              <w:rPr>
                <w:rtl w:val="0"/>
              </w:rPr>
            </w:r>
          </w:p>
        </w:tc>
        <w:tc>
          <w:tcPr>
            <w:gridSpan w:val="2"/>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Residual Income Valuation Model</w:t>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and implementation</w:t>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6"/>
                <w:tab w:val="left" w:leader="none" w:pos="737"/>
              </w:tabs>
              <w:spacing w:after="0" w:before="0" w:line="240" w:lineRule="auto"/>
              <w:ind w:left="736"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Reverse engineering</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Formulating buy/sell/hold decision</w:t>
            </w:r>
          </w:p>
        </w:tc>
      </w:tr>
      <w:tr>
        <w:trPr>
          <w:cantSplit w:val="0"/>
          <w:trHeight w:val="952" w:hRule="atLeast"/>
          <w:tblHeader w:val="0"/>
        </w:trPr>
        <w:tc>
          <w:tcPr>
            <w:gridSpan w:val="2"/>
            <w:shd w:fill="f1f1f1"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4/30 &amp; 5/2</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c>
          <w:tcPr>
            <w:gridSpan w:val="2"/>
            <w:shd w:fill="f1f1f1"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Presentations</w:t>
            </w:r>
          </w:p>
        </w:tc>
      </w:tr>
      <w:tr>
        <w:trPr>
          <w:cantSplit w:val="0"/>
          <w:trHeight w:val="952" w:hRule="atLeast"/>
          <w:tblHeader w:val="0"/>
        </w:trPr>
        <w:tc>
          <w:tcPr>
            <w:gridSpan w:val="2"/>
            <w:shd w:fill="f1f1f1"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2"/>
            <w:shd w:fill="f1f1f1"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Take-Home Final Exam – due date TBD</w:t>
            </w: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sectPr>
      <w:type w:val="nextPage"/>
      <w:pgSz w:h="16860" w:w="11920" w:orient="portrait"/>
      <w:pgMar w:bottom="920" w:top="1360" w:left="1100" w:right="1020" w:header="0" w:footer="72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5816600</wp:posOffset>
              </wp:positionH>
              <wp:positionV relativeFrom="paragraph">
                <wp:posOffset>10033000</wp:posOffset>
              </wp:positionV>
              <wp:extent cx="161925" cy="203835"/>
              <wp:effectExtent b="0" l="0" r="0" t="0"/>
              <wp:wrapNone/>
              <wp:docPr id="2" name=""/>
              <a:graphic>
                <a:graphicData uri="http://schemas.microsoft.com/office/word/2010/wordprocessingShape">
                  <wps:wsp>
                    <wps:cNvSpPr/>
                    <wps:cNvPr id="3" name="Shape 3"/>
                    <wps:spPr>
                      <a:xfrm>
                        <a:off x="5269800" y="3682845"/>
                        <a:ext cx="1524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5816600</wp:posOffset>
              </wp:positionH>
              <wp:positionV relativeFrom="paragraph">
                <wp:posOffset>10033000</wp:posOffset>
              </wp:positionV>
              <wp:extent cx="161925" cy="20383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19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2">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3">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4">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5">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6">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5" w:hanging="360"/>
      </w:pPr>
      <w:rPr/>
    </w:lvl>
    <w:lvl w:ilvl="6">
      <w:start w:val="0"/>
      <w:numFmt w:val="bullet"/>
      <w:lvlText w:val="•"/>
      <w:lvlJc w:val="left"/>
      <w:pPr>
        <w:ind w:left="5414" w:hanging="360"/>
      </w:pPr>
      <w:rPr/>
    </w:lvl>
    <w:lvl w:ilvl="7">
      <w:start w:val="0"/>
      <w:numFmt w:val="bullet"/>
      <w:lvlText w:val="•"/>
      <w:lvlJc w:val="left"/>
      <w:pPr>
        <w:ind w:left="6193" w:hanging="360"/>
      </w:pPr>
      <w:rPr/>
    </w:lvl>
    <w:lvl w:ilvl="8">
      <w:start w:val="0"/>
      <w:numFmt w:val="bullet"/>
      <w:lvlText w:val="•"/>
      <w:lvlJc w:val="left"/>
      <w:pPr>
        <w:ind w:left="6972" w:hanging="360"/>
      </w:pPr>
      <w:rPr/>
    </w:lvl>
  </w:abstractNum>
  <w:abstractNum w:abstractNumId="7">
    <w:lvl w:ilvl="0">
      <w:start w:val="0"/>
      <w:numFmt w:val="bullet"/>
      <w:lvlText w:val="-"/>
      <w:lvlJc w:val="left"/>
      <w:pPr>
        <w:ind w:left="736" w:hanging="360.00000000000006"/>
      </w:pPr>
      <w:rPr>
        <w:rFonts w:ascii="Times New Roman" w:cs="Times New Roman" w:eastAsia="Times New Roman" w:hAnsi="Times New Roman"/>
        <w:sz w:val="24"/>
        <w:szCs w:val="24"/>
      </w:rPr>
    </w:lvl>
    <w:lvl w:ilvl="1">
      <w:start w:val="0"/>
      <w:numFmt w:val="bullet"/>
      <w:lvlText w:val="•"/>
      <w:lvlJc w:val="left"/>
      <w:pPr>
        <w:ind w:left="1519" w:hanging="360"/>
      </w:pPr>
      <w:rPr/>
    </w:lvl>
    <w:lvl w:ilvl="2">
      <w:start w:val="0"/>
      <w:numFmt w:val="bullet"/>
      <w:lvlText w:val="•"/>
      <w:lvlJc w:val="left"/>
      <w:pPr>
        <w:ind w:left="2298" w:hanging="360"/>
      </w:pPr>
      <w:rPr/>
    </w:lvl>
    <w:lvl w:ilvl="3">
      <w:start w:val="0"/>
      <w:numFmt w:val="bullet"/>
      <w:lvlText w:val="•"/>
      <w:lvlJc w:val="left"/>
      <w:pPr>
        <w:ind w:left="3077" w:hanging="360"/>
      </w:pPr>
      <w:rPr/>
    </w:lvl>
    <w:lvl w:ilvl="4">
      <w:start w:val="0"/>
      <w:numFmt w:val="bullet"/>
      <w:lvlText w:val="•"/>
      <w:lvlJc w:val="left"/>
      <w:pPr>
        <w:ind w:left="3856" w:hanging="360"/>
      </w:pPr>
      <w:rPr/>
    </w:lvl>
    <w:lvl w:ilvl="5">
      <w:start w:val="0"/>
      <w:numFmt w:val="bullet"/>
      <w:lvlText w:val="•"/>
      <w:lvlJc w:val="left"/>
      <w:pPr>
        <w:ind w:left="4636" w:hanging="360"/>
      </w:pPr>
      <w:rPr/>
    </w:lvl>
    <w:lvl w:ilvl="6">
      <w:start w:val="0"/>
      <w:numFmt w:val="bullet"/>
      <w:lvlText w:val="•"/>
      <w:lvlJc w:val="left"/>
      <w:pPr>
        <w:ind w:left="5415" w:hanging="360"/>
      </w:pPr>
      <w:rPr/>
    </w:lvl>
    <w:lvl w:ilvl="7">
      <w:start w:val="0"/>
      <w:numFmt w:val="bullet"/>
      <w:lvlText w:val="•"/>
      <w:lvlJc w:val="left"/>
      <w:pPr>
        <w:ind w:left="6194" w:hanging="360"/>
      </w:pPr>
      <w:rPr/>
    </w:lvl>
    <w:lvl w:ilvl="8">
      <w:start w:val="0"/>
      <w:numFmt w:val="bullet"/>
      <w:lvlText w:val="•"/>
      <w:lvlJc w:val="left"/>
      <w:pPr>
        <w:ind w:left="6973" w:hanging="360"/>
      </w:pPr>
      <w:rPr/>
    </w:lvl>
  </w:abstractNum>
  <w:abstractNum w:abstractNumId="8">
    <w:lvl w:ilvl="0">
      <w:start w:val="0"/>
      <w:numFmt w:val="bullet"/>
      <w:lvlText w:val="-"/>
      <w:lvlJc w:val="left"/>
      <w:pPr>
        <w:ind w:left="734" w:hanging="374.99999999999994"/>
      </w:pPr>
      <w:rPr>
        <w:rFonts w:ascii="Times New Roman" w:cs="Times New Roman" w:eastAsia="Times New Roman" w:hAnsi="Times New Roman"/>
        <w:sz w:val="24"/>
        <w:szCs w:val="24"/>
      </w:rPr>
    </w:lvl>
    <w:lvl w:ilvl="1">
      <w:start w:val="0"/>
      <w:numFmt w:val="bullet"/>
      <w:lvlText w:val="•"/>
      <w:lvlJc w:val="left"/>
      <w:pPr>
        <w:ind w:left="1519" w:hanging="375"/>
      </w:pPr>
      <w:rPr/>
    </w:lvl>
    <w:lvl w:ilvl="2">
      <w:start w:val="0"/>
      <w:numFmt w:val="bullet"/>
      <w:lvlText w:val="•"/>
      <w:lvlJc w:val="left"/>
      <w:pPr>
        <w:ind w:left="2298" w:hanging="375"/>
      </w:pPr>
      <w:rPr/>
    </w:lvl>
    <w:lvl w:ilvl="3">
      <w:start w:val="0"/>
      <w:numFmt w:val="bullet"/>
      <w:lvlText w:val="•"/>
      <w:lvlJc w:val="left"/>
      <w:pPr>
        <w:ind w:left="3077" w:hanging="375"/>
      </w:pPr>
      <w:rPr/>
    </w:lvl>
    <w:lvl w:ilvl="4">
      <w:start w:val="0"/>
      <w:numFmt w:val="bullet"/>
      <w:lvlText w:val="•"/>
      <w:lvlJc w:val="left"/>
      <w:pPr>
        <w:ind w:left="3856" w:hanging="375"/>
      </w:pPr>
      <w:rPr/>
    </w:lvl>
    <w:lvl w:ilvl="5">
      <w:start w:val="0"/>
      <w:numFmt w:val="bullet"/>
      <w:lvlText w:val="•"/>
      <w:lvlJc w:val="left"/>
      <w:pPr>
        <w:ind w:left="4635" w:hanging="375"/>
      </w:pPr>
      <w:rPr/>
    </w:lvl>
    <w:lvl w:ilvl="6">
      <w:start w:val="0"/>
      <w:numFmt w:val="bullet"/>
      <w:lvlText w:val="•"/>
      <w:lvlJc w:val="left"/>
      <w:pPr>
        <w:ind w:left="5414" w:hanging="375"/>
      </w:pPr>
      <w:rPr/>
    </w:lvl>
    <w:lvl w:ilvl="7">
      <w:start w:val="0"/>
      <w:numFmt w:val="bullet"/>
      <w:lvlText w:val="•"/>
      <w:lvlJc w:val="left"/>
      <w:pPr>
        <w:ind w:left="6193" w:hanging="375"/>
      </w:pPr>
      <w:rPr/>
    </w:lvl>
    <w:lvl w:ilvl="8">
      <w:start w:val="0"/>
      <w:numFmt w:val="bullet"/>
      <w:lvlText w:val="•"/>
      <w:lvlJc w:val="left"/>
      <w:pPr>
        <w:ind w:left="6972"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xb-lnuuQRsjNpTK7LYV2bbePlQZErnul/view?usp=sharing" TargetMode="External"/><Relationship Id="rId10" Type="http://schemas.openxmlformats.org/officeDocument/2006/relationships/hyperlink" Target="https://www.stern.nyu.edu/portal-partners/student-engagement/mba-community-experience/code-of-conduct" TargetMode="External"/><Relationship Id="rId13" Type="http://schemas.openxmlformats.org/officeDocument/2006/relationships/hyperlink" Target="http://www.nyu.edu/csa" TargetMode="External"/><Relationship Id="rId12" Type="http://schemas.openxmlformats.org/officeDocument/2006/relationships/hyperlink" Target="mailto:mosescsa@ny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nyu.edu/students/communities-and-groups/student-accessibility.html" TargetMode="External"/><Relationship Id="rId14" Type="http://schemas.openxmlformats.org/officeDocument/2006/relationships/hyperlink" Target="https://www.nyu.edu/students/communities-and-groups/student-accessibility.html" TargetMode="External"/><Relationship Id="rId17" Type="http://schemas.openxmlformats.org/officeDocument/2006/relationships/hyperlink" Target="http://www.nyu.edu/students/health-and-wellness/counseling-services.html" TargetMode="External"/><Relationship Id="rId16" Type="http://schemas.openxmlformats.org/officeDocument/2006/relationships/hyperlink" Target="http://www.nyu.edu/students/health-and-wellness/counseling-services.html"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mailto:jyeo@stern.ny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7dDup3JLuark9GZIoi8sx393g==">CgMxLjAyCWlkLmdqZGd4czIKaWQuMzBqMHpsbDgAciExVG0yTFR6S3JJZXV5VnN2a2sxdGcyVHBHNUhmR3UzUVg=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2021-01-12T00:00:00Z</vt:lpwstr>
  </property>
  <property fmtid="{D5CDD505-2E9C-101B-9397-08002B2CF9AE}" pid="3" name="GrammarlyDocumentId">
    <vt:lpwstr>242f02605f1479d1881a0c8155703d0797232c3da060e328d73a2b0c030dd2bc</vt:lpwstr>
  </property>
  <property fmtid="{D5CDD505-2E9C-101B-9397-08002B2CF9AE}" pid="4" name="Creator">
    <vt:lpwstr>Acrobat PDFMaker 19 for Word</vt:lpwstr>
  </property>
  <property fmtid="{D5CDD505-2E9C-101B-9397-08002B2CF9AE}" pid="5" name="Created">
    <vt:lpwstr>2019-12-19T00:00:00Z</vt:lpwstr>
  </property>
</Properties>
</file>