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What should the rules be for Cryptoassets?</w:t>
      </w:r>
    </w:p>
    <w:p w:rsidR="00000000" w:rsidDel="00000000" w:rsidP="00000000" w:rsidRDefault="00000000" w:rsidRPr="00000000" w14:paraId="00000002">
      <w:pPr>
        <w:spacing w:line="276"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Accounting, Regulatory and Legislative Perspectives</w:t>
      </w:r>
    </w:p>
    <w:p w:rsidR="00000000" w:rsidDel="00000000" w:rsidP="00000000" w:rsidRDefault="00000000" w:rsidRPr="00000000" w14:paraId="00000003">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Ross/Volatility and Risk Institute Joint Conference:  September 17, 2021</w:t>
      </w:r>
    </w:p>
    <w:p w:rsidR="00000000" w:rsidDel="00000000" w:rsidP="00000000" w:rsidRDefault="00000000" w:rsidRPr="00000000" w14:paraId="0000000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11:00AM – 3:00PM</w:t>
      </w:r>
    </w:p>
    <w:p w:rsidR="00000000" w:rsidDel="00000000" w:rsidP="00000000" w:rsidRDefault="00000000" w:rsidRPr="00000000" w14:paraId="00000006">
      <w:pPr>
        <w:jc w:val="center"/>
        <w:rPr>
          <w:rFonts w:ascii="Arial" w:cs="Arial" w:eastAsia="Arial" w:hAnsi="Arial"/>
          <w:b w:val="1"/>
        </w:rPr>
      </w:pPr>
      <w:r w:rsidDel="00000000" w:rsidR="00000000" w:rsidRPr="00000000">
        <w:rPr>
          <w:rFonts w:ascii="Arial" w:cs="Arial" w:eastAsia="Arial" w:hAnsi="Arial"/>
          <w:b w:val="1"/>
          <w:rtl w:val="0"/>
        </w:rPr>
        <w:t xml:space="preserve">Speaker Biographies</w:t>
      </w:r>
    </w:p>
    <w:p w:rsidR="00000000" w:rsidDel="00000000" w:rsidP="00000000" w:rsidRDefault="00000000" w:rsidRPr="00000000" w14:paraId="0000000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rPr>
      </w:pPr>
      <w:r w:rsidDel="00000000" w:rsidR="00000000" w:rsidRPr="00000000">
        <w:rPr>
          <w:rFonts w:ascii="Arial" w:cs="Arial" w:eastAsia="Arial" w:hAnsi="Arial"/>
          <w:b w:val="1"/>
          <w:rtl w:val="0"/>
        </w:rPr>
        <w:t xml:space="preserve">Christine Botosan</w:t>
      </w:r>
    </w:p>
    <w:p w:rsidR="00000000" w:rsidDel="00000000" w:rsidP="00000000" w:rsidRDefault="00000000" w:rsidRPr="00000000" w14:paraId="00000009">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Christine Ann Botosan was appointed to the Financial Accounting Standards Board (FASB) on July 1, 2016, later reappointed to a second term that extends to June 30, 2026. Prior to joining the FASB, Ms. Botosan was a professor of accounting at the David Eccles School of Business at the University of Utah.</w:t>
      </w:r>
    </w:p>
    <w:p w:rsidR="00000000" w:rsidDel="00000000" w:rsidP="00000000" w:rsidRDefault="00000000" w:rsidRPr="00000000" w14:paraId="0000000A">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An award-winning professor and researcher, Ms. Botosan has a broad knowledge of accounting issues, with particular expertise in the areas of financial statement analysis and valuation.</w:t>
      </w:r>
    </w:p>
    <w:p w:rsidR="00000000" w:rsidDel="00000000" w:rsidP="00000000" w:rsidRDefault="00000000" w:rsidRPr="00000000" w14:paraId="0000000B">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Ms. Botosan served in a variety of roles during her tenure at the David Eccles School of Business at the University of Utah including as a leadership fellow in the office of the vice president, as the George S. and Dolores Dore Eccles Presidential Chair in Ethical Financial Reporting and as the associate dean of graduate affairs.</w:t>
      </w:r>
    </w:p>
    <w:p w:rsidR="00000000" w:rsidDel="00000000" w:rsidP="00000000" w:rsidRDefault="00000000" w:rsidRPr="00000000" w14:paraId="0000000C">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Prior to joining the University of Utah in 1999, Ms. Botosan was an assistant professor of accounting at Washington University in St. Louis, Missouri. Previously, she served as a lecturer at Wilfrid Laurier University in Waterloo, Ontario.</w:t>
      </w:r>
    </w:p>
    <w:p w:rsidR="00000000" w:rsidDel="00000000" w:rsidP="00000000" w:rsidRDefault="00000000" w:rsidRPr="00000000" w14:paraId="0000000D">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Ms. Botosan has served the academic community in numerous ways including as president of the American Accounting Association from 2014–2015.</w:t>
      </w:r>
    </w:p>
    <w:p w:rsidR="00000000" w:rsidDel="00000000" w:rsidP="00000000" w:rsidRDefault="00000000" w:rsidRPr="00000000" w14:paraId="0000000E">
      <w:pPr>
        <w:shd w:fill="ffffff" w:val="clear"/>
        <w:spacing w:after="160" w:lineRule="auto"/>
        <w:rPr>
          <w:rFonts w:ascii="Arial" w:cs="Arial" w:eastAsia="Arial" w:hAnsi="Arial"/>
        </w:rPr>
      </w:pPr>
      <w:r w:rsidDel="00000000" w:rsidR="00000000" w:rsidRPr="00000000">
        <w:rPr>
          <w:rFonts w:ascii="Arial" w:cs="Arial" w:eastAsia="Arial" w:hAnsi="Arial"/>
          <w:b w:val="1"/>
          <w:rtl w:val="0"/>
        </w:rPr>
        <w:t xml:space="preserve">Bill Foster</w:t>
      </w:r>
      <w:r w:rsidDel="00000000" w:rsidR="00000000" w:rsidRPr="00000000">
        <w:rPr>
          <w:rtl w:val="0"/>
        </w:rPr>
      </w:r>
    </w:p>
    <w:p w:rsidR="00000000" w:rsidDel="00000000" w:rsidP="00000000" w:rsidRDefault="00000000" w:rsidRPr="00000000" w14:paraId="0000000F">
      <w:pPr>
        <w:shd w:fill="ffffff" w:val="clear"/>
        <w:spacing w:after="160" w:lineRule="auto"/>
        <w:jc w:val="both"/>
        <w:rPr>
          <w:rFonts w:ascii="Arial" w:cs="Arial" w:eastAsia="Arial" w:hAnsi="Arial"/>
        </w:rPr>
      </w:pPr>
      <w:r w:rsidDel="00000000" w:rsidR="00000000" w:rsidRPr="00000000">
        <w:rPr>
          <w:rFonts w:ascii="Arial" w:cs="Arial" w:eastAsia="Arial" w:hAnsi="Arial"/>
          <w:rtl w:val="0"/>
        </w:rPr>
        <w:t xml:space="preserve">Congressman Bill Foster is a scientist and businessman representing the 11th Congressional District of Illinois, a position he’s held since 2013. He also represented the 14th Congressional District of Illinois from 2008 to 2011. He is the only PhD physicist in Congress. </w:t>
      </w:r>
    </w:p>
    <w:p w:rsidR="00000000" w:rsidDel="00000000" w:rsidP="00000000" w:rsidRDefault="00000000" w:rsidRPr="00000000" w14:paraId="00000010">
      <w:pPr>
        <w:shd w:fill="ffffff" w:val="clear"/>
        <w:spacing w:after="160" w:lineRule="auto"/>
        <w:jc w:val="both"/>
        <w:rPr>
          <w:rFonts w:ascii="Arial" w:cs="Arial" w:eastAsia="Arial" w:hAnsi="Arial"/>
        </w:rPr>
      </w:pPr>
      <w:r w:rsidDel="00000000" w:rsidR="00000000" w:rsidRPr="00000000">
        <w:rPr>
          <w:rFonts w:ascii="Arial" w:cs="Arial" w:eastAsia="Arial" w:hAnsi="Arial"/>
          <w:rtl w:val="0"/>
        </w:rPr>
        <w:t xml:space="preserve">Bill serves on the House Financial Services Committee where he advocates for consumer protections and an economy that works for everyone. In response to the Great Recession, he helped create several important reforms in the financial services and housing markets, including the Dodd-Frank Wall Street Reform and Consumer Protection Act. Bill serves as chairman of the Financial Services Committee’s Task Force on Artificial Intelligence.  </w:t>
      </w:r>
    </w:p>
    <w:p w:rsidR="00000000" w:rsidDel="00000000" w:rsidP="00000000" w:rsidRDefault="00000000" w:rsidRPr="00000000" w14:paraId="00000011">
      <w:pPr>
        <w:shd w:fill="ffffff" w:val="clear"/>
        <w:spacing w:after="160" w:lineRule="auto"/>
        <w:jc w:val="both"/>
        <w:rPr>
          <w:rFonts w:ascii="Arial" w:cs="Arial" w:eastAsia="Arial" w:hAnsi="Arial"/>
        </w:rPr>
      </w:pPr>
      <w:r w:rsidDel="00000000" w:rsidR="00000000" w:rsidRPr="00000000">
        <w:rPr>
          <w:rFonts w:ascii="Arial" w:cs="Arial" w:eastAsia="Arial" w:hAnsi="Arial"/>
          <w:rtl w:val="0"/>
        </w:rPr>
        <w:t xml:space="preserve">He also serves on the House Science, Space, and Technology Committee where he has fought for evidence-based policies and forward-thinking approaches to some of our country’s most pressing issues, including climate change and energy innovation. He is a champion for sustained federal funding for scientific research.</w:t>
      </w:r>
    </w:p>
    <w:p w:rsidR="00000000" w:rsidDel="00000000" w:rsidP="00000000" w:rsidRDefault="00000000" w:rsidRPr="00000000" w14:paraId="00000012">
      <w:pPr>
        <w:shd w:fill="ffffff" w:val="clear"/>
        <w:spacing w:after="160" w:lineRule="auto"/>
        <w:jc w:val="both"/>
        <w:rPr>
          <w:rFonts w:ascii="Arial" w:cs="Arial" w:eastAsia="Arial" w:hAnsi="Arial"/>
        </w:rPr>
      </w:pPr>
      <w:r w:rsidDel="00000000" w:rsidR="00000000" w:rsidRPr="00000000">
        <w:rPr>
          <w:rFonts w:ascii="Arial" w:cs="Arial" w:eastAsia="Arial" w:hAnsi="Arial"/>
          <w:rtl w:val="0"/>
        </w:rPr>
        <w:t xml:space="preserve">Bill serves as the chairman of the Science Committee's Investigations and Oversight Subcommittee, which is empowered to investigate and oversee federal scientific research.</w:t>
      </w:r>
    </w:p>
    <w:p w:rsidR="00000000" w:rsidDel="00000000" w:rsidP="00000000" w:rsidRDefault="00000000" w:rsidRPr="00000000" w14:paraId="00000013">
      <w:pPr>
        <w:shd w:fill="ffffff" w:val="clear"/>
        <w:spacing w:after="160" w:lineRule="auto"/>
        <w:jc w:val="both"/>
        <w:rPr>
          <w:rFonts w:ascii="Arial" w:cs="Arial" w:eastAsia="Arial" w:hAnsi="Arial"/>
        </w:rPr>
      </w:pPr>
      <w:r w:rsidDel="00000000" w:rsidR="00000000" w:rsidRPr="00000000">
        <w:rPr>
          <w:rFonts w:ascii="Arial" w:cs="Arial" w:eastAsia="Arial" w:hAnsi="Arial"/>
          <w:rtl w:val="0"/>
        </w:rPr>
        <w:t xml:space="preserve">In the wake of the devastating COVID-19 pandemic, Bill was named to the House Select Subcommittee on the Coronavirus. The Select Subcommittee is charged with examining the federal government’s response to the COVID-19 crisis, including the use of taxpayer funds to mitigate the public health and economic consequences of the pandemic.</w:t>
      </w:r>
    </w:p>
    <w:p w:rsidR="00000000" w:rsidDel="00000000" w:rsidP="00000000" w:rsidRDefault="00000000" w:rsidRPr="00000000" w14:paraId="00000014">
      <w:pPr>
        <w:shd w:fill="ffffff" w:val="clear"/>
        <w:spacing w:after="160" w:lineRule="auto"/>
        <w:jc w:val="both"/>
        <w:rPr>
          <w:rFonts w:ascii="Arial" w:cs="Arial" w:eastAsia="Arial" w:hAnsi="Arial"/>
        </w:rPr>
      </w:pPr>
      <w:r w:rsidDel="00000000" w:rsidR="00000000" w:rsidRPr="00000000">
        <w:rPr>
          <w:rFonts w:ascii="Arial" w:cs="Arial" w:eastAsia="Arial" w:hAnsi="Arial"/>
          <w:rtl w:val="0"/>
        </w:rPr>
        <w:t xml:space="preserve">Bill's business career began at age 19 when he and his younger brother co-founded Electronic Theatre Controls, Inc., a company that now manufactures over half of the theater lighting equipment in the United States.</w:t>
      </w:r>
    </w:p>
    <w:p w:rsidR="00000000" w:rsidDel="00000000" w:rsidP="00000000" w:rsidRDefault="00000000" w:rsidRPr="00000000" w14:paraId="00000015">
      <w:pPr>
        <w:shd w:fill="ffffff" w:val="clear"/>
        <w:spacing w:after="160" w:lineRule="auto"/>
        <w:jc w:val="both"/>
        <w:rPr>
          <w:rFonts w:ascii="Arial" w:cs="Arial" w:eastAsia="Arial" w:hAnsi="Arial"/>
        </w:rPr>
      </w:pPr>
      <w:r w:rsidDel="00000000" w:rsidR="00000000" w:rsidRPr="00000000">
        <w:rPr>
          <w:rFonts w:ascii="Arial" w:cs="Arial" w:eastAsia="Arial" w:hAnsi="Arial"/>
          <w:rtl w:val="0"/>
        </w:rPr>
        <w:t xml:space="preserve">Before he became a Member of Congress, Bill worked as a high-energy physicist and particle accelerator designer at Fermi National Accelerator Laboratory (Fermilab). He was a member of the team that discovered the top quark, the heaviest known form of matter. He also led the teams that designed and built several scientific facilities and detectors still in use today, including the Antiproton Recycler Ring, the latest of Fermilab's giant particle accelerators. </w:t>
      </w:r>
    </w:p>
    <w:p w:rsidR="00000000" w:rsidDel="00000000" w:rsidP="00000000" w:rsidRDefault="00000000" w:rsidRPr="00000000" w14:paraId="00000016">
      <w:pPr>
        <w:shd w:fill="ffffff" w:val="clear"/>
        <w:spacing w:after="160" w:lineRule="auto"/>
        <w:jc w:val="both"/>
        <w:rPr>
          <w:rFonts w:ascii="Arial" w:cs="Arial" w:eastAsia="Arial" w:hAnsi="Arial"/>
          <w:color w:val="333333"/>
          <w:sz w:val="23"/>
          <w:szCs w:val="23"/>
        </w:rPr>
      </w:pPr>
      <w:r w:rsidDel="00000000" w:rsidR="00000000" w:rsidRPr="00000000">
        <w:rPr>
          <w:rFonts w:ascii="Arial" w:cs="Arial" w:eastAsia="Arial" w:hAnsi="Arial"/>
          <w:rtl w:val="0"/>
        </w:rPr>
        <w:t xml:space="preserve">Bill lives in Naperville with his wife Aesook, who is also a physicist. Bill has two grown children, Billy and Christine. Bill's father was a civil rights lawyer who wrote much of the enforcement language behind the Civil Rights Act of 1964.</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Hanna Halaburda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Hanna Halaburda joined New York University Stern School of Business as an Associate Professor of Technology, Operations and Statistics in September 2019.</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her research, Professor Halaburda studies how technology changes economic forces, affecting interactions in the marketplace and business models. Much of her work focuses on competition between platforms (e.g., Apple’s iPhone vs. Android or eHarmony vs. Match). The most current theme in her research is the development of digital currencies and blockchain technologies. Professor Halaburda’s work has been published in Management Science, RAND, American Economic Journal, Games and Economic Behavior, and other academic journals. She also wrote a book, with Miklos Sarvary, on digital currencies, Beyond Bitcoin: The Economics of Digital Currency(Palgrave, 2016).</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joining NYU Stern, Professor Halaburda was an Assistant Professor at Harvard Business School, and a senior economist at the Bank of Canada.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Matthew Homer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Matthew Homer is former Executive Deputy Superintendent of Research and Innovation Division at the New York State Department of Financial Services (NYDFS). Prior to this role, he was Head of Policy and Research at Quovo, a New York fintech company providing open banking functionality for the financial services ecosystem, leading up to the company’s acquisition by fintech company Plaid. Mr. Homer is also a former U.S. Government civil servant with the Federal Deposit Insurance Corporation and the U.S. Agency for International Development (USAID). At USAID, he designed, launched, and oversaw two new innovation programs: Cashless Catalyst, a partnership between the U.S. Government and the Government of India to promote payments innovations and greater financial inclusion; and the RegTech for Regulators Accelerator, a first-of-its-kind program designed to help financial regulators improve their supervision of digital firms through new technologies. As a member of the Division of Depositor and Consumer Protection at the FDIC he focused on emerging technology and financial inclusion. Earlier in his career, he worked for Deloitte Consulting, where he focused on financial regulatory reform.</w:t>
      </w:r>
    </w:p>
    <w:p w:rsidR="00000000" w:rsidDel="00000000" w:rsidP="00000000" w:rsidRDefault="00000000" w:rsidRPr="00000000" w14:paraId="0000001E">
      <w:pPr>
        <w:jc w:val="both"/>
        <w:rPr>
          <w:rFonts w:ascii="Arial" w:cs="Arial" w:eastAsia="Arial" w:hAnsi="Arial"/>
          <w:b w:val="1"/>
        </w:rPr>
      </w:pPr>
      <w:r w:rsidDel="00000000" w:rsidR="00000000" w:rsidRPr="00000000">
        <w:rPr>
          <w:rFonts w:ascii="Arial" w:cs="Arial" w:eastAsia="Arial" w:hAnsi="Arial"/>
          <w:b w:val="1"/>
          <w:rtl w:val="0"/>
        </w:rPr>
        <w:t xml:space="preserve">Rob Jackson, Jr</w:t>
      </w:r>
    </w:p>
    <w:p w:rsidR="00000000" w:rsidDel="00000000" w:rsidP="00000000" w:rsidRDefault="00000000" w:rsidRPr="00000000" w14:paraId="0000001F">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Robert J. Jackson, Jr. is Professor of Law, Co-Director of the Institute for Corporate Governance and Finance, and Director of the Program on Corporate Law and Policy at the New York University School of Law. He was nominated and unanimously confirmed by the Senate to be Commissioner of the U.S. Securities and Exchange Commission in 2017 and served in that role until February 2020. Commissioner Jackson was an outspoken advocate for protecting investors, consistently calling for more transparency in capital markets and championing evidence-driven policymaking. </w:t>
      </w:r>
    </w:p>
    <w:p w:rsidR="00000000" w:rsidDel="00000000" w:rsidP="00000000" w:rsidRDefault="00000000" w:rsidRPr="00000000" w14:paraId="00000020">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Prior to his nomination to the Commission, Professor Jackson taught at Columbia Law School, where students honored him with the Reese Prize for Excellence in Teaching. Before that, he served as a senior policy advisor at the U.S. Treasury Department during the financial crisis and as deputy to Kenneth Feinberg, Treasury’s Special Master on Executive Compensation. Earlier in his career, Professor Jackson practiced law at Wachtell, Lipton, Rosen &amp; Katz and was an investment banker at Bear, Stearns. Jackson holds two undergraduate degrees (one in finance, another in philosophy) from the University of Pennsylvania, an MBA in Finance from the Wharton School of Business, a Master of Public Policy from Harvard’s Kennedy School, and a law degree from the Harvard Law School. He was born in the Bronx, is a lifelong fan of the New York Yankees, and lives in New York with his wife, Bryana.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i w:val="0"/>
          <w:smallCaps w:val="0"/>
          <w:strike w:val="0"/>
          <w:color w:val="222222"/>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Paul MacIntosh</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 is a Partner at EY based in San Francisco and is the leader of EY’s Financial Accounting Advisory Services practice in the West Region and he is EY’s Financial Services Crypto Leader. He has over 20 years of specialized experience in financial services working in San Francisco, New York, London, Tokyo, Hong Kong and Australia where he has provided both external audit and advisory services to global financial services institutions, including banks, broker-dealers, and most recently crypto exchanges and other crypto sector companies.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 has specialized in the Blockchain / Crypto sector, assisting these technology companies through various phases of their growth journey, including audit readiness, IPO readiness, mergers and acquisitions, and transformation projects focusing on impacts to accounting, financial reporting, regulatory reporting, governance and internal controls.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 currently works as a client serving partner on several crypto native clients as well as several traditional global financial services institutions, providing accounting and financial reporting consultation work.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5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 is a CPA licensed in CA and NY and is a member of the American Institute of Certified Public Accountants (AICPA). He is also a qualified Chartered Accountant with the Institute of Chartered Accountants in England and Wales (ICAEW) and with Chartered Accountants Australia and New Zealand (CAANZ).</w:t>
      </w:r>
    </w:p>
    <w:p w:rsidR="00000000" w:rsidDel="00000000" w:rsidP="00000000" w:rsidRDefault="00000000" w:rsidRPr="00000000" w14:paraId="00000026">
      <w:pPr>
        <w:jc w:val="both"/>
        <w:rPr>
          <w:rFonts w:ascii="Arial" w:cs="Arial" w:eastAsia="Arial" w:hAnsi="Arial"/>
          <w:b w:val="1"/>
        </w:rPr>
      </w:pPr>
      <w:r w:rsidDel="00000000" w:rsidR="00000000" w:rsidRPr="00000000">
        <w:rPr>
          <w:rFonts w:ascii="Arial" w:cs="Arial" w:eastAsia="Arial" w:hAnsi="Arial"/>
          <w:b w:val="1"/>
          <w:rtl w:val="0"/>
        </w:rPr>
        <w:t xml:space="preserve">Jai Massari</w:t>
      </w:r>
    </w:p>
    <w:p w:rsidR="00000000" w:rsidDel="00000000" w:rsidP="00000000" w:rsidRDefault="00000000" w:rsidRPr="00000000" w14:paraId="00000027">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Jai is a member of our Financial Institutions and Fintech practices. Major global banks, asset managers and corporations look to Jai for advice on the requirements, impact and implementation of financial regulation. In the area of digital assets and cryptocurrency, she advises financial institutions, fintech firms, technology companies and startups on a wide range of legal and regulatory considerations.</w:t>
      </w:r>
    </w:p>
    <w:p w:rsidR="00000000" w:rsidDel="00000000" w:rsidP="00000000" w:rsidRDefault="00000000" w:rsidRPr="00000000" w14:paraId="00000028">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Individual firms and industry organizations work with Jai in connection with advocacy efforts on legislative and regulatory proposals.</w:t>
      </w:r>
    </w:p>
    <w:p w:rsidR="00000000" w:rsidDel="00000000" w:rsidP="00000000" w:rsidRDefault="00000000" w:rsidRPr="00000000" w14:paraId="00000029">
      <w:pPr>
        <w:spacing w:after="300" w:before="150" w:lineRule="auto"/>
        <w:jc w:val="both"/>
        <w:rPr>
          <w:rFonts w:ascii="Arial" w:cs="Arial" w:eastAsia="Arial" w:hAnsi="Arial"/>
        </w:rPr>
      </w:pPr>
      <w:r w:rsidDel="00000000" w:rsidR="00000000" w:rsidRPr="00000000">
        <w:rPr>
          <w:rFonts w:ascii="Arial" w:cs="Arial" w:eastAsia="Arial" w:hAnsi="Arial"/>
          <w:i w:val="1"/>
          <w:rtl w:val="0"/>
        </w:rPr>
        <w:t xml:space="preserve">Law360</w:t>
      </w:r>
      <w:r w:rsidDel="00000000" w:rsidR="00000000" w:rsidRPr="00000000">
        <w:rPr>
          <w:rFonts w:ascii="Arial" w:cs="Arial" w:eastAsia="Arial" w:hAnsi="Arial"/>
          <w:rtl w:val="0"/>
        </w:rPr>
        <w:t xml:space="preserve"> named Jai a “Fintech MVP of the Year” in 2021. She is ranked by </w:t>
      </w:r>
      <w:r w:rsidDel="00000000" w:rsidR="00000000" w:rsidRPr="00000000">
        <w:rPr>
          <w:rFonts w:ascii="Arial" w:cs="Arial" w:eastAsia="Arial" w:hAnsi="Arial"/>
          <w:i w:val="1"/>
          <w:rtl w:val="0"/>
        </w:rPr>
        <w:t xml:space="preserve">Chambers</w:t>
      </w:r>
      <w:r w:rsidDel="00000000" w:rsidR="00000000" w:rsidRPr="00000000">
        <w:rPr>
          <w:rFonts w:ascii="Arial" w:cs="Arial" w:eastAsia="Arial" w:hAnsi="Arial"/>
          <w:rtl w:val="0"/>
        </w:rPr>
        <w:t xml:space="preserve"> for financial services regulation and for work in fintech. In 2020, </w:t>
      </w:r>
      <w:r w:rsidDel="00000000" w:rsidR="00000000" w:rsidRPr="00000000">
        <w:rPr>
          <w:rFonts w:ascii="Arial" w:cs="Arial" w:eastAsia="Arial" w:hAnsi="Arial"/>
          <w:i w:val="1"/>
          <w:rtl w:val="0"/>
        </w:rPr>
        <w:t xml:space="preserve">Global Banking Regulation Review</w:t>
      </w:r>
      <w:r w:rsidDel="00000000" w:rsidR="00000000" w:rsidRPr="00000000">
        <w:rPr>
          <w:rFonts w:ascii="Arial" w:cs="Arial" w:eastAsia="Arial" w:hAnsi="Arial"/>
          <w:rtl w:val="0"/>
        </w:rPr>
        <w:t xml:space="preserve"> named Jai to its inaugural list of "45 Under 45.”</w:t>
      </w:r>
    </w:p>
    <w:p w:rsidR="00000000" w:rsidDel="00000000" w:rsidP="00000000" w:rsidRDefault="00000000" w:rsidRPr="00000000" w14:paraId="0000002A">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Jai is a member of </w:t>
      </w:r>
      <w:r w:rsidDel="00000000" w:rsidR="00000000" w:rsidRPr="00000000">
        <w:rPr>
          <w:rFonts w:ascii="Arial" w:cs="Arial" w:eastAsia="Arial" w:hAnsi="Arial"/>
          <w:i w:val="1"/>
          <w:rtl w:val="0"/>
        </w:rPr>
        <w:t xml:space="preserve">Law360’s</w:t>
      </w:r>
      <w:r w:rsidDel="00000000" w:rsidR="00000000" w:rsidRPr="00000000">
        <w:rPr>
          <w:rFonts w:ascii="Arial" w:cs="Arial" w:eastAsia="Arial" w:hAnsi="Arial"/>
          <w:rtl w:val="0"/>
        </w:rPr>
        <w:t xml:space="preserve"> 2021 Fintech Editorial Advisory Board. She serves on the Global Advisory Board of the Women in Law Empowerment Forum and has been a visiting lecturer at Berkeley Law School since 2017.</w:t>
      </w:r>
    </w:p>
    <w:p w:rsidR="00000000" w:rsidDel="00000000" w:rsidP="00000000" w:rsidRDefault="00000000" w:rsidRPr="00000000" w14:paraId="0000002B">
      <w:pPr>
        <w:jc w:val="both"/>
        <w:rPr>
          <w:rFonts w:ascii="Arial" w:cs="Arial" w:eastAsia="Arial" w:hAnsi="Arial"/>
          <w:b w:val="1"/>
        </w:rPr>
      </w:pPr>
      <w:r w:rsidDel="00000000" w:rsidR="00000000" w:rsidRPr="00000000">
        <w:rPr>
          <w:rFonts w:ascii="Arial" w:cs="Arial" w:eastAsia="Arial" w:hAnsi="Arial"/>
          <w:b w:val="1"/>
          <w:rtl w:val="0"/>
        </w:rPr>
        <w:t xml:space="preserve">Suzanne Morsfield</w:t>
      </w:r>
    </w:p>
    <w:p w:rsidR="00000000" w:rsidDel="00000000" w:rsidP="00000000" w:rsidRDefault="00000000" w:rsidRPr="00000000" w14:paraId="0000002C">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Suzanne Morsfield is Lukka’s Global Head of Accounting Solutions. She has over 15 years of data-driven accounting and quantitative research experience. She spent time on teams at JP Morgan, Morgan Stanley, and Thomson Reuters before becoming the Director of Research for a think tank at Columbia University’s Business School. While there, she completed both practical research and thought leadership on financial reporting topics aimed at global policymakers. She then moved on to the International Accounting Standards Board as a senior member of the technical accounting staff, where she continued financial reporting research and analysis in the context of global accounting standard-setting. In addition to these experiences, Suzanne has also been a visiting assistant professor or lecturer at the University of Arizona, New York University and the London School of Economics. </w:t>
      </w:r>
    </w:p>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rtl w:val="0"/>
        </w:rPr>
        <w:t xml:space="preserve">David Yermack</w:t>
      </w:r>
    </w:p>
    <w:p w:rsidR="00000000" w:rsidDel="00000000" w:rsidP="00000000" w:rsidRDefault="00000000" w:rsidRPr="00000000" w14:paraId="0000002E">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David L. Yermack is the Albert Fingerhut Professor of Finance and Business Transformation at New York University Stern School of Business. He serves as Chairman of the Finance Department and Director of the NYU Pollack Center for Law and Business. Professor Yermack teaches joint MBA - Law School courses in Restructuring Firms &amp; Industries and Bitcoin &amp; Cryptocurrencies, as well as PhD research courses in corporate governance, executive compensation, and distress and restructuring.</w:t>
      </w:r>
    </w:p>
    <w:p w:rsidR="00000000" w:rsidDel="00000000" w:rsidP="00000000" w:rsidRDefault="00000000" w:rsidRPr="00000000" w14:paraId="0000002F">
      <w:pPr>
        <w:spacing w:after="300" w:before="150" w:lineRule="auto"/>
        <w:jc w:val="both"/>
        <w:rPr>
          <w:rFonts w:ascii="Arial" w:cs="Arial" w:eastAsia="Arial" w:hAnsi="Arial"/>
        </w:rPr>
      </w:pPr>
      <w:r w:rsidDel="00000000" w:rsidR="00000000" w:rsidRPr="00000000">
        <w:rPr>
          <w:rFonts w:ascii="Arial" w:cs="Arial" w:eastAsia="Arial" w:hAnsi="Arial"/>
          <w:rtl w:val="0"/>
        </w:rPr>
        <w:t xml:space="preserve">Professor Yermack has been with NYU Stern since 1994. His primary research areas include boards of directors, executive compensation, and corporate finance. Professor Yermack has published more than 25 articles in leading academic journals in Finance, Accounting, Economics, and Law. He is a Faculty Research Associate of the National Bureau of Economic Research and has been a Visiting Scholar at the U.S. Federal Reserve Bank.</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sectPr>
      <w:headerReference r:id="rId7" w:type="default"/>
      <w:pgSz w:h="15840" w:w="12240" w:orient="portrait"/>
      <w:pgMar w:bottom="63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943600" cy="1363980"/>
          <wp:effectExtent b="0" l="0" r="0" t="0"/>
          <wp:docPr descr="Graphical user interface&#10;&#10;Description automatically generated with medium confidence" id="2" name="image1.png"/>
          <a:graphic>
            <a:graphicData uri="http://schemas.openxmlformats.org/drawingml/2006/picture">
              <pic:pic>
                <pic:nvPicPr>
                  <pic:cNvPr descr="Graphical user interface&#10;&#10;Description automatically generated with medium confidence" id="0" name="image1.png"/>
                  <pic:cNvPicPr preferRelativeResize="0"/>
                </pic:nvPicPr>
                <pic:blipFill>
                  <a:blip r:embed="rId1"/>
                  <a:srcRect b="0" l="0" r="0" t="0"/>
                  <a:stretch>
                    <a:fillRect/>
                  </a:stretch>
                </pic:blipFill>
                <pic:spPr>
                  <a:xfrm>
                    <a:off x="0" y="0"/>
                    <a:ext cx="5943600" cy="13639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4FD7"/>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F4FD7"/>
    <w:pPr>
      <w:tabs>
        <w:tab w:val="center" w:pos="4680"/>
        <w:tab w:val="right" w:pos="9360"/>
      </w:tabs>
    </w:pPr>
  </w:style>
  <w:style w:type="character" w:styleId="HeaderChar" w:customStyle="1">
    <w:name w:val="Header Char"/>
    <w:basedOn w:val="DefaultParagraphFont"/>
    <w:link w:val="Header"/>
    <w:uiPriority w:val="99"/>
    <w:rsid w:val="009F4FD7"/>
  </w:style>
  <w:style w:type="paragraph" w:styleId="Footer">
    <w:name w:val="footer"/>
    <w:basedOn w:val="Normal"/>
    <w:link w:val="FooterChar"/>
    <w:uiPriority w:val="99"/>
    <w:unhideWhenUsed w:val="1"/>
    <w:rsid w:val="009F4FD7"/>
    <w:pPr>
      <w:tabs>
        <w:tab w:val="center" w:pos="4680"/>
        <w:tab w:val="right" w:pos="9360"/>
      </w:tabs>
    </w:pPr>
  </w:style>
  <w:style w:type="character" w:styleId="FooterChar" w:customStyle="1">
    <w:name w:val="Footer Char"/>
    <w:basedOn w:val="DefaultParagraphFont"/>
    <w:link w:val="Footer"/>
    <w:uiPriority w:val="99"/>
    <w:rsid w:val="009F4FD7"/>
  </w:style>
  <w:style w:type="paragraph" w:styleId="NormalWeb">
    <w:name w:val="Normal (Web)"/>
    <w:basedOn w:val="Normal"/>
    <w:uiPriority w:val="99"/>
    <w:unhideWhenUsed w:val="1"/>
    <w:rsid w:val="001D45E1"/>
    <w:pPr>
      <w:spacing w:after="100" w:afterAutospacing="1" w:before="100" w:beforeAutospacing="1"/>
    </w:pPr>
    <w:rPr>
      <w:rFonts w:ascii="Times New Roman" w:cs="Times New Roman" w:eastAsia="Times New Roman" w:hAnsi="Times New Roman"/>
    </w:rPr>
  </w:style>
  <w:style w:type="character" w:styleId="Emphasis">
    <w:name w:val="Emphasis"/>
    <w:basedOn w:val="DefaultParagraphFont"/>
    <w:uiPriority w:val="20"/>
    <w:qFormat w:val="1"/>
    <w:rsid w:val="000334AE"/>
    <w:rPr>
      <w:i w:val="1"/>
      <w:iCs w:val="1"/>
    </w:rPr>
  </w:style>
  <w:style w:type="character" w:styleId="apple-converted-space" w:customStyle="1">
    <w:name w:val="apple-converted-space"/>
    <w:basedOn w:val="DefaultParagraphFont"/>
    <w:rsid w:val="000334AE"/>
  </w:style>
  <w:style w:type="character" w:styleId="gi" w:customStyle="1">
    <w:name w:val="gi"/>
    <w:basedOn w:val="DefaultParagraphFont"/>
    <w:rsid w:val="008348B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T5QSCC5hmCjz0bUA5/Ugn0JLQ==">AMUW2mWlDB/Tl0hfujJjsoAO2tz2TYP4Q/i8CnDVxTMyPC6gsHqYuzbBoY3L/yHvi8iVO21jKrv/HcrJBBdY95K3LTWqDjX+Shb2Da6UTUtIdsgiJr44BmKXnn/W3OQZxgJZadQU+f7k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2021-09-03T16:03:00Z</dcterms:created>
  <dc:creator>Justin Pilozo</dc:creator>
</cp:coreProperties>
</file>