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3B638" w14:textId="696843D1" w:rsidR="00F25B03" w:rsidRDefault="00F25B03" w:rsidP="006B52E1">
      <w:pPr>
        <w:autoSpaceDE w:val="0"/>
        <w:autoSpaceDN w:val="0"/>
        <w:adjustRightInd w:val="0"/>
        <w:spacing w:after="0" w:line="240" w:lineRule="auto"/>
        <w:jc w:val="center"/>
        <w:rPr>
          <w:rFonts w:ascii="Times New Roman" w:hAnsi="Times New Roman" w:cs="Times New Roman"/>
          <w:b/>
          <w:bCs/>
          <w:color w:val="000000"/>
          <w:sz w:val="24"/>
          <w:szCs w:val="24"/>
          <w:lang w:bidi="he-IL"/>
        </w:rPr>
      </w:pPr>
      <w:bookmarkStart w:id="0" w:name="_GoBack"/>
      <w:bookmarkEnd w:id="0"/>
      <w:r>
        <w:rPr>
          <w:rFonts w:ascii="Times New Roman" w:hAnsi="Times New Roman" w:cs="Times New Roman"/>
          <w:b/>
          <w:bCs/>
          <w:color w:val="000000"/>
          <w:sz w:val="24"/>
          <w:szCs w:val="24"/>
          <w:lang w:bidi="he-IL"/>
        </w:rPr>
        <w:t>Capitalization vs Expensing and the Behavior of R&amp;D Expenditures</w:t>
      </w:r>
    </w:p>
    <w:p w14:paraId="5FFE9858" w14:textId="452745A1" w:rsidR="006B52E1" w:rsidRDefault="006B52E1" w:rsidP="006B52E1">
      <w:pPr>
        <w:autoSpaceDE w:val="0"/>
        <w:autoSpaceDN w:val="0"/>
        <w:adjustRightInd w:val="0"/>
        <w:spacing w:after="0" w:line="240" w:lineRule="auto"/>
        <w:jc w:val="center"/>
        <w:rPr>
          <w:rFonts w:ascii="Times New Roman" w:hAnsi="Times New Roman" w:cs="Times New Roman"/>
          <w:b/>
          <w:bCs/>
          <w:color w:val="000000"/>
          <w:sz w:val="24"/>
          <w:szCs w:val="24"/>
          <w:lang w:bidi="he-IL"/>
        </w:rPr>
      </w:pPr>
    </w:p>
    <w:p w14:paraId="0EA70D47" w14:textId="77777777" w:rsidR="006B52E1" w:rsidRDefault="006B52E1" w:rsidP="00C07366">
      <w:pPr>
        <w:autoSpaceDE w:val="0"/>
        <w:autoSpaceDN w:val="0"/>
        <w:adjustRightInd w:val="0"/>
        <w:spacing w:after="0" w:line="240" w:lineRule="auto"/>
        <w:jc w:val="center"/>
        <w:rPr>
          <w:rFonts w:ascii="Times New Roman" w:hAnsi="Times New Roman" w:cs="Times New Roman"/>
          <w:b/>
          <w:bCs/>
          <w:color w:val="000000"/>
          <w:sz w:val="24"/>
          <w:szCs w:val="24"/>
          <w:lang w:bidi="he-IL"/>
        </w:rPr>
      </w:pPr>
    </w:p>
    <w:p w14:paraId="72B26EC3" w14:textId="77777777" w:rsidR="00F25B03" w:rsidRDefault="00F25B03" w:rsidP="00C07366">
      <w:pPr>
        <w:autoSpaceDE w:val="0"/>
        <w:autoSpaceDN w:val="0"/>
        <w:adjustRightInd w:val="0"/>
        <w:spacing w:after="0" w:line="240" w:lineRule="auto"/>
        <w:jc w:val="center"/>
        <w:rPr>
          <w:rFonts w:ascii="Times New Roman" w:hAnsi="Times New Roman" w:cs="Times New Roman"/>
          <w:color w:val="000000"/>
          <w:sz w:val="24"/>
          <w:szCs w:val="24"/>
          <w:lang w:bidi="he-IL"/>
        </w:rPr>
      </w:pPr>
      <w:r>
        <w:rPr>
          <w:rFonts w:ascii="Times New Roman" w:hAnsi="Times New Roman" w:cs="Times New Roman"/>
          <w:color w:val="000000"/>
          <w:sz w:val="24"/>
          <w:szCs w:val="24"/>
          <w:lang w:bidi="he-IL"/>
        </w:rPr>
        <w:t>Dennis Oswald (University of Michigan)</w:t>
      </w:r>
    </w:p>
    <w:p w14:paraId="425028AC" w14:textId="77777777" w:rsidR="00F25B03" w:rsidRDefault="00F25B03" w:rsidP="00C07366">
      <w:pPr>
        <w:autoSpaceDE w:val="0"/>
        <w:autoSpaceDN w:val="0"/>
        <w:adjustRightInd w:val="0"/>
        <w:spacing w:after="0" w:line="240" w:lineRule="auto"/>
        <w:jc w:val="center"/>
        <w:rPr>
          <w:rFonts w:ascii="Times New Roman" w:hAnsi="Times New Roman" w:cs="Times New Roman"/>
          <w:color w:val="0563C2"/>
          <w:sz w:val="24"/>
          <w:szCs w:val="24"/>
          <w:lang w:bidi="he-IL"/>
        </w:rPr>
      </w:pPr>
      <w:r>
        <w:rPr>
          <w:rFonts w:ascii="Times New Roman" w:hAnsi="Times New Roman" w:cs="Times New Roman"/>
          <w:color w:val="0563C2"/>
          <w:sz w:val="24"/>
          <w:szCs w:val="24"/>
          <w:lang w:bidi="he-IL"/>
        </w:rPr>
        <w:t>denniso@umich.edu</w:t>
      </w:r>
    </w:p>
    <w:p w14:paraId="2CBB5E98" w14:textId="77777777" w:rsidR="00EA0566" w:rsidRDefault="00EA0566" w:rsidP="006B52E1">
      <w:pPr>
        <w:autoSpaceDE w:val="0"/>
        <w:autoSpaceDN w:val="0"/>
        <w:adjustRightInd w:val="0"/>
        <w:spacing w:after="0" w:line="240" w:lineRule="auto"/>
        <w:jc w:val="center"/>
        <w:rPr>
          <w:rFonts w:ascii="Times New Roman" w:hAnsi="Times New Roman" w:cs="Times New Roman"/>
          <w:color w:val="000000"/>
          <w:sz w:val="24"/>
          <w:szCs w:val="24"/>
          <w:lang w:bidi="he-IL"/>
        </w:rPr>
      </w:pPr>
    </w:p>
    <w:p w14:paraId="6C71FCD6" w14:textId="77777777" w:rsidR="00EA0566" w:rsidRDefault="00EA0566" w:rsidP="006B52E1">
      <w:pPr>
        <w:autoSpaceDE w:val="0"/>
        <w:autoSpaceDN w:val="0"/>
        <w:adjustRightInd w:val="0"/>
        <w:spacing w:after="0" w:line="240" w:lineRule="auto"/>
        <w:jc w:val="center"/>
        <w:rPr>
          <w:rFonts w:ascii="Times New Roman" w:hAnsi="Times New Roman" w:cs="Times New Roman"/>
          <w:color w:val="000000"/>
          <w:sz w:val="24"/>
          <w:szCs w:val="24"/>
          <w:lang w:bidi="he-IL"/>
        </w:rPr>
      </w:pPr>
    </w:p>
    <w:p w14:paraId="183535D0" w14:textId="212390AD" w:rsidR="00F25B03" w:rsidRDefault="00F25B03" w:rsidP="00C07366">
      <w:pPr>
        <w:autoSpaceDE w:val="0"/>
        <w:autoSpaceDN w:val="0"/>
        <w:adjustRightInd w:val="0"/>
        <w:spacing w:after="0" w:line="240" w:lineRule="auto"/>
        <w:jc w:val="center"/>
        <w:rPr>
          <w:rFonts w:ascii="Times New Roman" w:hAnsi="Times New Roman" w:cs="Times New Roman"/>
          <w:color w:val="000000"/>
          <w:sz w:val="24"/>
          <w:szCs w:val="24"/>
          <w:lang w:bidi="he-IL"/>
        </w:rPr>
      </w:pPr>
      <w:r>
        <w:rPr>
          <w:rFonts w:ascii="Times New Roman" w:hAnsi="Times New Roman" w:cs="Times New Roman"/>
          <w:color w:val="000000"/>
          <w:sz w:val="24"/>
          <w:szCs w:val="24"/>
          <w:lang w:bidi="he-IL"/>
        </w:rPr>
        <w:t>Ana Simpson (London School of Economics)</w:t>
      </w:r>
    </w:p>
    <w:p w14:paraId="4C5E328C" w14:textId="77777777" w:rsidR="00F25B03" w:rsidRDefault="00F25B03" w:rsidP="00C07366">
      <w:pPr>
        <w:autoSpaceDE w:val="0"/>
        <w:autoSpaceDN w:val="0"/>
        <w:adjustRightInd w:val="0"/>
        <w:spacing w:after="0" w:line="240" w:lineRule="auto"/>
        <w:jc w:val="center"/>
        <w:rPr>
          <w:rFonts w:ascii="Times New Roman" w:hAnsi="Times New Roman" w:cs="Times New Roman"/>
          <w:color w:val="0563C2"/>
          <w:sz w:val="24"/>
          <w:szCs w:val="24"/>
          <w:lang w:bidi="he-IL"/>
        </w:rPr>
      </w:pPr>
      <w:r>
        <w:rPr>
          <w:rFonts w:ascii="Times New Roman" w:hAnsi="Times New Roman" w:cs="Times New Roman"/>
          <w:color w:val="0563C2"/>
          <w:sz w:val="24"/>
          <w:szCs w:val="24"/>
          <w:lang w:bidi="he-IL"/>
        </w:rPr>
        <w:t>A.Simpson1@lse.ac.uk</w:t>
      </w:r>
    </w:p>
    <w:p w14:paraId="532D815E" w14:textId="77777777" w:rsidR="00EA0566" w:rsidRDefault="00EA0566" w:rsidP="006B52E1">
      <w:pPr>
        <w:autoSpaceDE w:val="0"/>
        <w:autoSpaceDN w:val="0"/>
        <w:adjustRightInd w:val="0"/>
        <w:spacing w:after="0" w:line="240" w:lineRule="auto"/>
        <w:jc w:val="center"/>
        <w:rPr>
          <w:rFonts w:ascii="Times New Roman" w:hAnsi="Times New Roman" w:cs="Times New Roman"/>
          <w:color w:val="000000"/>
          <w:sz w:val="24"/>
          <w:szCs w:val="24"/>
          <w:lang w:bidi="he-IL"/>
        </w:rPr>
      </w:pPr>
    </w:p>
    <w:p w14:paraId="18FF9C80" w14:textId="77777777" w:rsidR="00EA0566" w:rsidRDefault="00EA0566" w:rsidP="006B52E1">
      <w:pPr>
        <w:autoSpaceDE w:val="0"/>
        <w:autoSpaceDN w:val="0"/>
        <w:adjustRightInd w:val="0"/>
        <w:spacing w:after="0" w:line="240" w:lineRule="auto"/>
        <w:jc w:val="center"/>
        <w:rPr>
          <w:rFonts w:ascii="Times New Roman" w:hAnsi="Times New Roman" w:cs="Times New Roman"/>
          <w:color w:val="000000"/>
          <w:sz w:val="24"/>
          <w:szCs w:val="24"/>
          <w:lang w:bidi="he-IL"/>
        </w:rPr>
      </w:pPr>
    </w:p>
    <w:p w14:paraId="54C5F15C" w14:textId="13C8CA25" w:rsidR="00F25B03" w:rsidRDefault="00F25B03" w:rsidP="00C07366">
      <w:pPr>
        <w:autoSpaceDE w:val="0"/>
        <w:autoSpaceDN w:val="0"/>
        <w:adjustRightInd w:val="0"/>
        <w:spacing w:after="0" w:line="240" w:lineRule="auto"/>
        <w:jc w:val="center"/>
        <w:rPr>
          <w:rFonts w:ascii="Times New Roman" w:hAnsi="Times New Roman" w:cs="Times New Roman"/>
          <w:color w:val="000000"/>
          <w:sz w:val="24"/>
          <w:szCs w:val="24"/>
          <w:lang w:bidi="he-IL"/>
        </w:rPr>
      </w:pPr>
      <w:r>
        <w:rPr>
          <w:rFonts w:ascii="Times New Roman" w:hAnsi="Times New Roman" w:cs="Times New Roman"/>
          <w:color w:val="000000"/>
          <w:sz w:val="24"/>
          <w:szCs w:val="24"/>
          <w:lang w:bidi="he-IL"/>
        </w:rPr>
        <w:t>Paul Zarowin (New York University)</w:t>
      </w:r>
    </w:p>
    <w:p w14:paraId="48C941B8" w14:textId="48FF71F2" w:rsidR="00F25B03" w:rsidRDefault="00D104E8" w:rsidP="0080583D">
      <w:pPr>
        <w:autoSpaceDE w:val="0"/>
        <w:autoSpaceDN w:val="0"/>
        <w:adjustRightInd w:val="0"/>
        <w:spacing w:after="0" w:line="240" w:lineRule="auto"/>
        <w:jc w:val="center"/>
        <w:rPr>
          <w:rFonts w:ascii="Times New Roman" w:hAnsi="Times New Roman" w:cs="Times New Roman"/>
          <w:color w:val="0563C2"/>
          <w:sz w:val="24"/>
          <w:szCs w:val="24"/>
          <w:lang w:bidi="he-IL"/>
        </w:rPr>
      </w:pPr>
      <w:hyperlink r:id="rId8" w:history="1">
        <w:r w:rsidR="00C07366" w:rsidRPr="00583892">
          <w:rPr>
            <w:rStyle w:val="Hyperlink"/>
            <w:rFonts w:ascii="Times New Roman" w:hAnsi="Times New Roman" w:cs="Times New Roman"/>
            <w:sz w:val="24"/>
            <w:szCs w:val="24"/>
            <w:lang w:bidi="he-IL"/>
          </w:rPr>
          <w:t>pzarowin@stern.nyu.edu</w:t>
        </w:r>
      </w:hyperlink>
    </w:p>
    <w:p w14:paraId="10ED0806" w14:textId="53AF5E0A" w:rsidR="00C07366" w:rsidRDefault="00C07366" w:rsidP="00EA0566">
      <w:pPr>
        <w:autoSpaceDE w:val="0"/>
        <w:autoSpaceDN w:val="0"/>
        <w:adjustRightInd w:val="0"/>
        <w:spacing w:after="0" w:line="240" w:lineRule="auto"/>
        <w:rPr>
          <w:rFonts w:ascii="Times New Roman" w:hAnsi="Times New Roman" w:cs="Times New Roman"/>
          <w:color w:val="0563C2"/>
          <w:sz w:val="24"/>
          <w:szCs w:val="24"/>
          <w:lang w:bidi="he-IL"/>
        </w:rPr>
      </w:pPr>
    </w:p>
    <w:p w14:paraId="09B79701" w14:textId="77777777" w:rsidR="00C07366" w:rsidRDefault="00C07366" w:rsidP="00C07366">
      <w:pPr>
        <w:autoSpaceDE w:val="0"/>
        <w:autoSpaceDN w:val="0"/>
        <w:adjustRightInd w:val="0"/>
        <w:spacing w:after="0" w:line="240" w:lineRule="auto"/>
        <w:rPr>
          <w:rFonts w:ascii="Times New Roman" w:hAnsi="Times New Roman" w:cs="Times New Roman"/>
          <w:color w:val="0563C2"/>
          <w:sz w:val="24"/>
          <w:szCs w:val="24"/>
          <w:lang w:bidi="he-IL"/>
        </w:rPr>
      </w:pPr>
    </w:p>
    <w:p w14:paraId="6BEB0DE0" w14:textId="27CA5A86" w:rsidR="00F25B03" w:rsidRDefault="00F25B03" w:rsidP="00C07366">
      <w:pPr>
        <w:autoSpaceDE w:val="0"/>
        <w:autoSpaceDN w:val="0"/>
        <w:adjustRightInd w:val="0"/>
        <w:spacing w:after="0" w:line="240" w:lineRule="auto"/>
        <w:jc w:val="center"/>
        <w:rPr>
          <w:rFonts w:ascii="Times New Roman" w:hAnsi="Times New Roman" w:cs="Times New Roman"/>
          <w:color w:val="000000"/>
          <w:sz w:val="24"/>
          <w:szCs w:val="24"/>
          <w:lang w:bidi="he-IL"/>
        </w:rPr>
      </w:pPr>
      <w:r>
        <w:rPr>
          <w:rFonts w:ascii="Times New Roman" w:hAnsi="Times New Roman" w:cs="Times New Roman"/>
          <w:color w:val="000000"/>
          <w:sz w:val="24"/>
          <w:szCs w:val="24"/>
          <w:lang w:bidi="he-IL"/>
        </w:rPr>
        <w:t>January, 2021</w:t>
      </w:r>
    </w:p>
    <w:p w14:paraId="18FFA1DF" w14:textId="21F19DAA" w:rsidR="00C07366" w:rsidRDefault="00C07366" w:rsidP="00C07366">
      <w:pPr>
        <w:autoSpaceDE w:val="0"/>
        <w:autoSpaceDN w:val="0"/>
        <w:adjustRightInd w:val="0"/>
        <w:spacing w:after="0" w:line="240" w:lineRule="auto"/>
        <w:jc w:val="center"/>
        <w:rPr>
          <w:rFonts w:ascii="Times New Roman" w:hAnsi="Times New Roman" w:cs="Times New Roman"/>
          <w:color w:val="000000"/>
          <w:sz w:val="24"/>
          <w:szCs w:val="24"/>
          <w:lang w:bidi="he-IL"/>
        </w:rPr>
      </w:pPr>
    </w:p>
    <w:p w14:paraId="4D3A3855" w14:textId="4D8FE9D9" w:rsidR="00C07366" w:rsidRDefault="00C07366" w:rsidP="00C07366">
      <w:pPr>
        <w:autoSpaceDE w:val="0"/>
        <w:autoSpaceDN w:val="0"/>
        <w:adjustRightInd w:val="0"/>
        <w:spacing w:after="0" w:line="240" w:lineRule="auto"/>
        <w:jc w:val="center"/>
        <w:rPr>
          <w:rFonts w:ascii="Times New Roman" w:hAnsi="Times New Roman" w:cs="Times New Roman"/>
          <w:color w:val="000000"/>
          <w:sz w:val="24"/>
          <w:szCs w:val="24"/>
          <w:lang w:bidi="he-IL"/>
        </w:rPr>
      </w:pPr>
    </w:p>
    <w:p w14:paraId="250B02EC" w14:textId="77777777" w:rsidR="00C07366" w:rsidRDefault="00C07366" w:rsidP="00C07366">
      <w:pPr>
        <w:autoSpaceDE w:val="0"/>
        <w:autoSpaceDN w:val="0"/>
        <w:adjustRightInd w:val="0"/>
        <w:spacing w:after="0" w:line="240" w:lineRule="auto"/>
        <w:jc w:val="center"/>
        <w:rPr>
          <w:rFonts w:ascii="Times New Roman" w:hAnsi="Times New Roman" w:cs="Times New Roman"/>
          <w:color w:val="000000"/>
          <w:sz w:val="24"/>
          <w:szCs w:val="24"/>
          <w:lang w:bidi="he-IL"/>
        </w:rPr>
      </w:pPr>
    </w:p>
    <w:p w14:paraId="2E5D33E8" w14:textId="77777777" w:rsidR="00F25B03" w:rsidRDefault="00F25B03" w:rsidP="00C07366">
      <w:pPr>
        <w:autoSpaceDE w:val="0"/>
        <w:autoSpaceDN w:val="0"/>
        <w:adjustRightInd w:val="0"/>
        <w:spacing w:after="0" w:line="240" w:lineRule="auto"/>
        <w:jc w:val="both"/>
        <w:rPr>
          <w:rFonts w:ascii="Times New Roman" w:hAnsi="Times New Roman" w:cs="Times New Roman"/>
          <w:color w:val="000000"/>
          <w:sz w:val="24"/>
          <w:szCs w:val="24"/>
          <w:lang w:bidi="he-IL"/>
        </w:rPr>
      </w:pPr>
      <w:r>
        <w:rPr>
          <w:rFonts w:ascii="Times New Roman" w:hAnsi="Times New Roman" w:cs="Times New Roman"/>
          <w:color w:val="000000"/>
          <w:sz w:val="24"/>
          <w:szCs w:val="24"/>
          <w:lang w:bidi="he-IL"/>
        </w:rPr>
        <w:t>*We thank Mary Billings, Igor Goncharov, Ilan Guttman, Peter Holgate, Bjorn Jorgensen, Peter</w:t>
      </w:r>
    </w:p>
    <w:p w14:paraId="489D160F" w14:textId="77777777" w:rsidR="00F25B03" w:rsidRDefault="00F25B03" w:rsidP="00C07366">
      <w:pPr>
        <w:autoSpaceDE w:val="0"/>
        <w:autoSpaceDN w:val="0"/>
        <w:adjustRightInd w:val="0"/>
        <w:spacing w:after="0" w:line="240" w:lineRule="auto"/>
        <w:jc w:val="both"/>
        <w:rPr>
          <w:rFonts w:ascii="Times New Roman" w:hAnsi="Times New Roman" w:cs="Times New Roman"/>
          <w:color w:val="000000"/>
          <w:sz w:val="24"/>
          <w:szCs w:val="24"/>
          <w:lang w:bidi="he-IL"/>
        </w:rPr>
      </w:pPr>
      <w:r>
        <w:rPr>
          <w:rFonts w:ascii="Times New Roman" w:hAnsi="Times New Roman" w:cs="Times New Roman"/>
          <w:color w:val="000000"/>
          <w:sz w:val="24"/>
          <w:szCs w:val="24"/>
          <w:lang w:bidi="he-IL"/>
        </w:rPr>
        <w:t>Pope, Andy Stark, Martin Walker, and workshop participants at the University of Toronto, New</w:t>
      </w:r>
    </w:p>
    <w:p w14:paraId="4D6421ED" w14:textId="77777777" w:rsidR="00F25B03" w:rsidRDefault="00F25B03" w:rsidP="00C07366">
      <w:pPr>
        <w:autoSpaceDE w:val="0"/>
        <w:autoSpaceDN w:val="0"/>
        <w:adjustRightInd w:val="0"/>
        <w:spacing w:after="0" w:line="240" w:lineRule="auto"/>
        <w:jc w:val="both"/>
        <w:rPr>
          <w:rFonts w:ascii="Times New Roman" w:hAnsi="Times New Roman" w:cs="Times New Roman"/>
          <w:color w:val="000000"/>
          <w:sz w:val="24"/>
          <w:szCs w:val="24"/>
          <w:lang w:bidi="he-IL"/>
        </w:rPr>
      </w:pPr>
      <w:r>
        <w:rPr>
          <w:rFonts w:ascii="Times New Roman" w:hAnsi="Times New Roman" w:cs="Times New Roman"/>
          <w:color w:val="000000"/>
          <w:sz w:val="24"/>
          <w:szCs w:val="24"/>
          <w:lang w:bidi="he-IL"/>
        </w:rPr>
        <w:t>York University, Yeshiva University, the 2016 EAA Annual Congress and the 10th LSE/MBS</w:t>
      </w:r>
    </w:p>
    <w:p w14:paraId="15767131" w14:textId="77777777" w:rsidR="00F25B03" w:rsidRDefault="00F25B03" w:rsidP="00C07366">
      <w:pPr>
        <w:autoSpaceDE w:val="0"/>
        <w:autoSpaceDN w:val="0"/>
        <w:adjustRightInd w:val="0"/>
        <w:spacing w:after="0" w:line="240" w:lineRule="auto"/>
        <w:jc w:val="both"/>
        <w:rPr>
          <w:rFonts w:ascii="Times New Roman" w:hAnsi="Times New Roman" w:cs="Times New Roman"/>
          <w:color w:val="000000"/>
          <w:sz w:val="24"/>
          <w:szCs w:val="24"/>
          <w:lang w:bidi="he-IL"/>
        </w:rPr>
      </w:pPr>
      <w:r>
        <w:rPr>
          <w:rFonts w:ascii="Times New Roman" w:hAnsi="Times New Roman" w:cs="Times New Roman"/>
          <w:color w:val="000000"/>
          <w:sz w:val="24"/>
          <w:szCs w:val="24"/>
          <w:lang w:bidi="he-IL"/>
        </w:rPr>
        <w:t>Conference for helpful comments</w:t>
      </w:r>
    </w:p>
    <w:p w14:paraId="33F8C129" w14:textId="37190490" w:rsidR="00431695" w:rsidRDefault="00431695" w:rsidP="006B52E1">
      <w:pPr>
        <w:spacing w:after="0" w:line="480" w:lineRule="auto"/>
        <w:jc w:val="center"/>
        <w:rPr>
          <w:rFonts w:ascii="Times New Roman" w:hAnsi="Times New Roman" w:cs="Times New Roman"/>
          <w:b/>
          <w:sz w:val="24"/>
          <w:szCs w:val="24"/>
        </w:rPr>
      </w:pPr>
    </w:p>
    <w:p w14:paraId="33E68B9F" w14:textId="77777777" w:rsidR="00431695" w:rsidRDefault="00431695" w:rsidP="00431695">
      <w:pPr>
        <w:jc w:val="center"/>
        <w:rPr>
          <w:rFonts w:ascii="Times New Roman" w:hAnsi="Times New Roman" w:cs="Times New Roman"/>
          <w:b/>
          <w:sz w:val="24"/>
          <w:szCs w:val="24"/>
        </w:rPr>
      </w:pPr>
    </w:p>
    <w:p w14:paraId="0F996638" w14:textId="77777777" w:rsidR="00431695" w:rsidRDefault="00431695" w:rsidP="00431695">
      <w:pPr>
        <w:jc w:val="center"/>
        <w:rPr>
          <w:rFonts w:ascii="Times New Roman" w:hAnsi="Times New Roman" w:cs="Times New Roman"/>
          <w:b/>
          <w:sz w:val="24"/>
          <w:szCs w:val="24"/>
        </w:rPr>
      </w:pPr>
    </w:p>
    <w:p w14:paraId="57C44803" w14:textId="77777777" w:rsidR="00C07366" w:rsidRDefault="00C07366">
      <w:pPr>
        <w:rPr>
          <w:rFonts w:ascii="Times New Roman" w:hAnsi="Times New Roman" w:cs="Times New Roman"/>
          <w:b/>
          <w:sz w:val="24"/>
          <w:szCs w:val="24"/>
        </w:rPr>
      </w:pPr>
      <w:r>
        <w:rPr>
          <w:rFonts w:ascii="Times New Roman" w:hAnsi="Times New Roman" w:cs="Times New Roman"/>
          <w:b/>
          <w:sz w:val="24"/>
          <w:szCs w:val="24"/>
        </w:rPr>
        <w:br w:type="page"/>
      </w:r>
    </w:p>
    <w:p w14:paraId="4564CFE9" w14:textId="327BF073" w:rsidR="00B413B9" w:rsidRPr="00B413B9" w:rsidRDefault="00B413B9" w:rsidP="00546D05">
      <w:pPr>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Capitalization vs Expensing and the Behavior of </w:t>
      </w:r>
      <w:r w:rsidRPr="00B1064D">
        <w:rPr>
          <w:rFonts w:ascii="Times New Roman" w:hAnsi="Times New Roman" w:cs="Times New Roman"/>
          <w:b/>
          <w:sz w:val="24"/>
          <w:szCs w:val="24"/>
        </w:rPr>
        <w:t>R&amp;D Expenditures</w:t>
      </w:r>
    </w:p>
    <w:p w14:paraId="4789086B" w14:textId="77777777" w:rsidR="00B413B9" w:rsidRDefault="00B413B9" w:rsidP="00985B47">
      <w:pPr>
        <w:jc w:val="center"/>
        <w:rPr>
          <w:rFonts w:ascii="Times New Roman" w:hAnsi="Times New Roman" w:cs="Times New Roman"/>
          <w:sz w:val="24"/>
          <w:szCs w:val="24"/>
        </w:rPr>
      </w:pPr>
    </w:p>
    <w:p w14:paraId="01FEAACA" w14:textId="7FAE89B7" w:rsidR="00E95C07" w:rsidRDefault="00E95C07" w:rsidP="00985B47">
      <w:pPr>
        <w:jc w:val="center"/>
        <w:rPr>
          <w:rFonts w:ascii="Times New Roman" w:hAnsi="Times New Roman" w:cs="Times New Roman"/>
          <w:sz w:val="24"/>
          <w:szCs w:val="24"/>
        </w:rPr>
      </w:pPr>
      <w:r>
        <w:rPr>
          <w:rFonts w:ascii="Times New Roman" w:hAnsi="Times New Roman" w:cs="Times New Roman"/>
          <w:sz w:val="24"/>
          <w:szCs w:val="24"/>
        </w:rPr>
        <w:t>Abstract</w:t>
      </w:r>
    </w:p>
    <w:p w14:paraId="21EAC43A" w14:textId="5AD4C603" w:rsidR="00E95C07" w:rsidRDefault="00E95C07" w:rsidP="00A92E41">
      <w:pPr>
        <w:jc w:val="both"/>
        <w:rPr>
          <w:rFonts w:ascii="Times New Roman" w:hAnsi="Times New Roman" w:cs="Times New Roman"/>
          <w:sz w:val="24"/>
          <w:szCs w:val="24"/>
        </w:rPr>
      </w:pPr>
      <w:r>
        <w:rPr>
          <w:rFonts w:ascii="Times New Roman" w:hAnsi="Times New Roman" w:cs="Times New Roman"/>
          <w:sz w:val="24"/>
          <w:szCs w:val="24"/>
        </w:rPr>
        <w:t xml:space="preserve">We examine the effect of capitalization vs expensing on </w:t>
      </w:r>
      <w:r w:rsidR="007802DE">
        <w:rPr>
          <w:rFonts w:ascii="Times New Roman" w:hAnsi="Times New Roman" w:cs="Times New Roman"/>
          <w:sz w:val="24"/>
          <w:szCs w:val="24"/>
        </w:rPr>
        <w:t>UK</w:t>
      </w:r>
      <w:r>
        <w:rPr>
          <w:rFonts w:ascii="Times New Roman" w:hAnsi="Times New Roman" w:cs="Times New Roman"/>
          <w:sz w:val="24"/>
          <w:szCs w:val="24"/>
        </w:rPr>
        <w:t xml:space="preserve"> firms’ R&amp;D expenditures. Our investigation is motivated by the </w:t>
      </w:r>
      <w:r w:rsidR="007802DE">
        <w:rPr>
          <w:rFonts w:ascii="Times New Roman" w:hAnsi="Times New Roman" w:cs="Times New Roman"/>
          <w:sz w:val="24"/>
          <w:szCs w:val="24"/>
        </w:rPr>
        <w:t>UK</w:t>
      </w:r>
      <w:r w:rsidR="00EC18C7">
        <w:rPr>
          <w:rFonts w:ascii="Times New Roman" w:hAnsi="Times New Roman" w:cs="Times New Roman"/>
          <w:sz w:val="24"/>
          <w:szCs w:val="24"/>
        </w:rPr>
        <w:t xml:space="preserve">’s </w:t>
      </w:r>
      <w:r>
        <w:rPr>
          <w:rFonts w:ascii="Times New Roman" w:hAnsi="Times New Roman" w:cs="Times New Roman"/>
          <w:sz w:val="24"/>
          <w:szCs w:val="24"/>
        </w:rPr>
        <w:t xml:space="preserve">mandatory switch from </w:t>
      </w:r>
      <w:r w:rsidR="007802DE">
        <w:rPr>
          <w:rFonts w:ascii="Times New Roman" w:hAnsi="Times New Roman" w:cs="Times New Roman"/>
          <w:sz w:val="24"/>
          <w:szCs w:val="24"/>
        </w:rPr>
        <w:t>UK</w:t>
      </w:r>
      <w:r>
        <w:rPr>
          <w:rFonts w:ascii="Times New Roman" w:hAnsi="Times New Roman" w:cs="Times New Roman"/>
          <w:sz w:val="24"/>
          <w:szCs w:val="24"/>
        </w:rPr>
        <w:t xml:space="preserve"> GAAP to IFRS in 2005. Under </w:t>
      </w:r>
      <w:r w:rsidR="007802DE">
        <w:rPr>
          <w:rFonts w:ascii="Times New Roman" w:hAnsi="Times New Roman" w:cs="Times New Roman"/>
          <w:sz w:val="24"/>
          <w:szCs w:val="24"/>
        </w:rPr>
        <w:t>UK</w:t>
      </w:r>
      <w:r>
        <w:rPr>
          <w:rFonts w:ascii="Times New Roman" w:hAnsi="Times New Roman" w:cs="Times New Roman"/>
          <w:sz w:val="24"/>
          <w:szCs w:val="24"/>
        </w:rPr>
        <w:t xml:space="preserve"> GAAP, firms could </w:t>
      </w:r>
      <w:r w:rsidR="0068340A">
        <w:rPr>
          <w:rFonts w:ascii="Times New Roman" w:hAnsi="Times New Roman" w:cs="Times New Roman"/>
          <w:sz w:val="24"/>
          <w:szCs w:val="24"/>
        </w:rPr>
        <w:t xml:space="preserve">elect to </w:t>
      </w:r>
      <w:r>
        <w:rPr>
          <w:rFonts w:ascii="Times New Roman" w:hAnsi="Times New Roman" w:cs="Times New Roman"/>
          <w:sz w:val="24"/>
          <w:szCs w:val="24"/>
        </w:rPr>
        <w:t>expense or capitalize development expenditures, but IFRS mandate</w:t>
      </w:r>
      <w:r w:rsidR="00C70C91">
        <w:rPr>
          <w:rFonts w:ascii="Times New Roman" w:hAnsi="Times New Roman" w:cs="Times New Roman"/>
          <w:sz w:val="24"/>
          <w:szCs w:val="24"/>
        </w:rPr>
        <w:t>s</w:t>
      </w:r>
      <w:r>
        <w:rPr>
          <w:rFonts w:ascii="Times New Roman" w:hAnsi="Times New Roman" w:cs="Times New Roman"/>
          <w:sz w:val="24"/>
          <w:szCs w:val="24"/>
        </w:rPr>
        <w:t xml:space="preserve"> capitalization. </w:t>
      </w:r>
      <w:r w:rsidR="0068340A">
        <w:rPr>
          <w:rFonts w:ascii="Times New Roman" w:hAnsi="Times New Roman" w:cs="Times New Roman"/>
          <w:sz w:val="24"/>
          <w:szCs w:val="24"/>
        </w:rPr>
        <w:t xml:space="preserve">Thus, “capitalizers” maintained their accounting method, while “switchers” </w:t>
      </w:r>
      <w:r w:rsidR="00EC18C7">
        <w:rPr>
          <w:rFonts w:ascii="Times New Roman" w:hAnsi="Times New Roman" w:cs="Times New Roman"/>
          <w:sz w:val="24"/>
          <w:szCs w:val="24"/>
        </w:rPr>
        <w:t xml:space="preserve">were required to </w:t>
      </w:r>
      <w:r w:rsidR="0068340A">
        <w:rPr>
          <w:rFonts w:ascii="Times New Roman" w:hAnsi="Times New Roman" w:cs="Times New Roman"/>
          <w:sz w:val="24"/>
          <w:szCs w:val="24"/>
        </w:rPr>
        <w:t>change from expensing to capitalization.</w:t>
      </w:r>
      <w:r w:rsidR="009D714D">
        <w:rPr>
          <w:rFonts w:ascii="Times New Roman" w:hAnsi="Times New Roman" w:cs="Times New Roman"/>
          <w:sz w:val="24"/>
          <w:szCs w:val="24"/>
        </w:rPr>
        <w:t xml:space="preserve"> W</w:t>
      </w:r>
      <w:r>
        <w:rPr>
          <w:rFonts w:ascii="Times New Roman" w:hAnsi="Times New Roman" w:cs="Times New Roman"/>
          <w:sz w:val="24"/>
          <w:szCs w:val="24"/>
        </w:rPr>
        <w:t>e examine</w:t>
      </w:r>
      <w:r w:rsidR="0068340A">
        <w:rPr>
          <w:rFonts w:ascii="Times New Roman" w:hAnsi="Times New Roman" w:cs="Times New Roman"/>
          <w:sz w:val="24"/>
          <w:szCs w:val="24"/>
        </w:rPr>
        <w:t xml:space="preserve"> the effect of the rule change on the amount of </w:t>
      </w:r>
      <w:r w:rsidR="00EC18C7">
        <w:rPr>
          <w:rFonts w:ascii="Times New Roman" w:hAnsi="Times New Roman" w:cs="Times New Roman"/>
          <w:sz w:val="24"/>
          <w:szCs w:val="24"/>
        </w:rPr>
        <w:t xml:space="preserve">the two groups’ </w:t>
      </w:r>
      <w:r w:rsidR="0068340A">
        <w:rPr>
          <w:rFonts w:ascii="Times New Roman" w:hAnsi="Times New Roman" w:cs="Times New Roman"/>
          <w:sz w:val="24"/>
          <w:szCs w:val="24"/>
        </w:rPr>
        <w:t>R&amp;D expenditures</w:t>
      </w:r>
      <w:r w:rsidR="00EC18C7">
        <w:rPr>
          <w:rFonts w:ascii="Times New Roman" w:hAnsi="Times New Roman" w:cs="Times New Roman"/>
          <w:sz w:val="24"/>
          <w:szCs w:val="24"/>
        </w:rPr>
        <w:t>,</w:t>
      </w:r>
      <w:r w:rsidR="001E0497">
        <w:rPr>
          <w:rFonts w:ascii="Times New Roman" w:hAnsi="Times New Roman" w:cs="Times New Roman"/>
          <w:sz w:val="24"/>
          <w:szCs w:val="24"/>
        </w:rPr>
        <w:t xml:space="preserve"> and</w:t>
      </w:r>
      <w:r w:rsidR="00EC18C7">
        <w:rPr>
          <w:rFonts w:ascii="Times New Roman" w:hAnsi="Times New Roman" w:cs="Times New Roman"/>
          <w:sz w:val="24"/>
          <w:szCs w:val="24"/>
        </w:rPr>
        <w:t xml:space="preserve"> we find that switching firms increased their R&amp;D expenditures more than firms that continued to capitalize. </w:t>
      </w:r>
      <w:r w:rsidR="00447A74">
        <w:rPr>
          <w:rFonts w:ascii="Times New Roman" w:hAnsi="Times New Roman" w:cs="Times New Roman"/>
          <w:sz w:val="24"/>
          <w:szCs w:val="24"/>
        </w:rPr>
        <w:t>We subject our results to numerous robustness tests</w:t>
      </w:r>
      <w:r w:rsidR="00ED289A">
        <w:rPr>
          <w:rFonts w:ascii="Times New Roman" w:hAnsi="Times New Roman" w:cs="Times New Roman"/>
          <w:sz w:val="24"/>
          <w:szCs w:val="24"/>
        </w:rPr>
        <w:t>, and a</w:t>
      </w:r>
      <w:r w:rsidR="00447A74">
        <w:rPr>
          <w:rFonts w:ascii="Times New Roman" w:hAnsi="Times New Roman" w:cs="Times New Roman"/>
          <w:sz w:val="24"/>
          <w:szCs w:val="24"/>
        </w:rPr>
        <w:t xml:space="preserve">cross all of these tests, our results support the conclusion that the accounting method affects the amount that firms invest in R&amp;D. </w:t>
      </w:r>
      <w:r w:rsidR="00C70C91">
        <w:rPr>
          <w:rFonts w:ascii="Times New Roman" w:hAnsi="Times New Roman" w:cs="Times New Roman"/>
          <w:sz w:val="24"/>
          <w:szCs w:val="24"/>
        </w:rPr>
        <w:t xml:space="preserve">Our results attest to the real effects of accounting policy on firms’ R&amp;D investments. </w:t>
      </w:r>
      <w:r w:rsidR="00EC18C7">
        <w:rPr>
          <w:rFonts w:ascii="Times New Roman" w:hAnsi="Times New Roman" w:cs="Times New Roman"/>
          <w:sz w:val="24"/>
          <w:szCs w:val="24"/>
        </w:rPr>
        <w:t xml:space="preserve"> </w:t>
      </w:r>
    </w:p>
    <w:p w14:paraId="428CB7B5" w14:textId="77777777" w:rsidR="00E95C07" w:rsidRDefault="00E95C07" w:rsidP="00985B47">
      <w:pPr>
        <w:rPr>
          <w:rFonts w:ascii="Times New Roman" w:hAnsi="Times New Roman" w:cs="Times New Roman"/>
          <w:sz w:val="24"/>
          <w:szCs w:val="24"/>
        </w:rPr>
      </w:pPr>
    </w:p>
    <w:p w14:paraId="2B7077BE" w14:textId="77777777" w:rsidR="00E95C07" w:rsidRDefault="00E95C07" w:rsidP="00985B47">
      <w:pPr>
        <w:rPr>
          <w:rFonts w:ascii="Times New Roman" w:hAnsi="Times New Roman" w:cs="Times New Roman"/>
          <w:sz w:val="24"/>
          <w:szCs w:val="24"/>
        </w:rPr>
      </w:pPr>
    </w:p>
    <w:p w14:paraId="14AE7776" w14:textId="77777777" w:rsidR="00E95C07" w:rsidRDefault="00E95C07" w:rsidP="00985B47">
      <w:pPr>
        <w:rPr>
          <w:rFonts w:ascii="Times New Roman" w:hAnsi="Times New Roman" w:cs="Times New Roman"/>
          <w:sz w:val="24"/>
          <w:szCs w:val="24"/>
        </w:rPr>
      </w:pPr>
    </w:p>
    <w:p w14:paraId="0429AFA1" w14:textId="77777777" w:rsidR="00E95C07" w:rsidRDefault="00E95C07" w:rsidP="00985B47">
      <w:pPr>
        <w:rPr>
          <w:rFonts w:ascii="Times New Roman" w:hAnsi="Times New Roman" w:cs="Times New Roman"/>
          <w:sz w:val="24"/>
          <w:szCs w:val="24"/>
        </w:rPr>
      </w:pPr>
    </w:p>
    <w:p w14:paraId="4E436B16" w14:textId="77777777" w:rsidR="00E95C07" w:rsidRDefault="00E95C07" w:rsidP="00985B47">
      <w:pPr>
        <w:rPr>
          <w:rFonts w:ascii="Times New Roman" w:hAnsi="Times New Roman" w:cs="Times New Roman"/>
          <w:sz w:val="24"/>
          <w:szCs w:val="24"/>
        </w:rPr>
      </w:pPr>
    </w:p>
    <w:p w14:paraId="0B6FFC4B" w14:textId="77777777" w:rsidR="00E95C07" w:rsidRDefault="00E95C07" w:rsidP="00985B47">
      <w:pPr>
        <w:rPr>
          <w:rFonts w:ascii="Times New Roman" w:hAnsi="Times New Roman" w:cs="Times New Roman"/>
          <w:sz w:val="24"/>
          <w:szCs w:val="24"/>
        </w:rPr>
      </w:pPr>
    </w:p>
    <w:p w14:paraId="622E7FCB" w14:textId="77777777" w:rsidR="00E95C07" w:rsidRDefault="00E95C07" w:rsidP="00985B47">
      <w:pPr>
        <w:rPr>
          <w:rFonts w:ascii="Times New Roman" w:hAnsi="Times New Roman" w:cs="Times New Roman"/>
          <w:sz w:val="24"/>
          <w:szCs w:val="24"/>
        </w:rPr>
      </w:pPr>
    </w:p>
    <w:p w14:paraId="594193E7" w14:textId="0356A8D1" w:rsidR="00C70C91" w:rsidRDefault="00C70C91" w:rsidP="00985B47">
      <w:pPr>
        <w:rPr>
          <w:rFonts w:ascii="Times New Roman" w:hAnsi="Times New Roman" w:cs="Times New Roman"/>
          <w:b/>
          <w:sz w:val="24"/>
          <w:szCs w:val="24"/>
        </w:rPr>
      </w:pPr>
    </w:p>
    <w:p w14:paraId="48B2F19D" w14:textId="77777777" w:rsidR="00935CF4" w:rsidRDefault="00935CF4" w:rsidP="00985B47">
      <w:pPr>
        <w:jc w:val="center"/>
        <w:rPr>
          <w:rFonts w:ascii="Times New Roman" w:hAnsi="Times New Roman" w:cs="Times New Roman"/>
          <w:b/>
          <w:sz w:val="24"/>
          <w:szCs w:val="24"/>
        </w:rPr>
        <w:sectPr w:rsidR="00935CF4" w:rsidSect="00BA547B">
          <w:footerReference w:type="default" r:id="rId9"/>
          <w:pgSz w:w="12240" w:h="15840"/>
          <w:pgMar w:top="1440" w:right="1440" w:bottom="1440" w:left="1440" w:header="720" w:footer="720" w:gutter="0"/>
          <w:pgNumType w:start="0"/>
          <w:cols w:space="720"/>
          <w:titlePg/>
          <w:docGrid w:linePitch="360"/>
        </w:sectPr>
      </w:pPr>
    </w:p>
    <w:p w14:paraId="6DC6910A" w14:textId="0057A636" w:rsidR="00336FED" w:rsidRDefault="00B413B9" w:rsidP="00985B47">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Capitalization vs Expensing and the Behavior of</w:t>
      </w:r>
      <w:r w:rsidR="00537433">
        <w:rPr>
          <w:rFonts w:ascii="Times New Roman" w:hAnsi="Times New Roman" w:cs="Times New Roman"/>
          <w:b/>
          <w:sz w:val="24"/>
          <w:szCs w:val="24"/>
        </w:rPr>
        <w:t xml:space="preserve"> </w:t>
      </w:r>
      <w:r w:rsidR="00B1064D" w:rsidRPr="00B1064D">
        <w:rPr>
          <w:rFonts w:ascii="Times New Roman" w:hAnsi="Times New Roman" w:cs="Times New Roman"/>
          <w:b/>
          <w:sz w:val="24"/>
          <w:szCs w:val="24"/>
        </w:rPr>
        <w:t>R&amp;D Expenditures</w:t>
      </w:r>
    </w:p>
    <w:p w14:paraId="69EE6DF1" w14:textId="77777777" w:rsidR="00C24B18" w:rsidRPr="00B1064D" w:rsidRDefault="00C24B18" w:rsidP="00985B47">
      <w:pPr>
        <w:spacing w:after="0"/>
        <w:jc w:val="center"/>
        <w:rPr>
          <w:rFonts w:ascii="Times New Roman" w:hAnsi="Times New Roman" w:cs="Times New Roman"/>
          <w:b/>
          <w:sz w:val="24"/>
          <w:szCs w:val="24"/>
        </w:rPr>
      </w:pPr>
    </w:p>
    <w:p w14:paraId="75B71169" w14:textId="77777777" w:rsidR="00B1064D" w:rsidRPr="00B1064D" w:rsidRDefault="00B1064D" w:rsidP="007D0B97">
      <w:pPr>
        <w:pStyle w:val="ListParagraph"/>
        <w:numPr>
          <w:ilvl w:val="0"/>
          <w:numId w:val="1"/>
        </w:numPr>
        <w:tabs>
          <w:tab w:val="left" w:pos="360"/>
        </w:tabs>
        <w:spacing w:after="0" w:line="480" w:lineRule="auto"/>
        <w:ind w:left="0" w:firstLine="0"/>
        <w:rPr>
          <w:rFonts w:ascii="Times New Roman" w:hAnsi="Times New Roman" w:cs="Times New Roman"/>
          <w:b/>
          <w:sz w:val="24"/>
          <w:szCs w:val="24"/>
        </w:rPr>
      </w:pPr>
      <w:r w:rsidRPr="00B1064D">
        <w:rPr>
          <w:rFonts w:ascii="Times New Roman" w:hAnsi="Times New Roman" w:cs="Times New Roman"/>
          <w:b/>
          <w:sz w:val="24"/>
          <w:szCs w:val="24"/>
        </w:rPr>
        <w:t>Introduction</w:t>
      </w:r>
    </w:p>
    <w:p w14:paraId="02C62BC1" w14:textId="1AA036EA" w:rsidR="009602F9" w:rsidRDefault="00B1064D" w:rsidP="00A92E41">
      <w:pPr>
        <w:spacing w:after="0" w:line="480" w:lineRule="auto"/>
        <w:ind w:firstLine="630"/>
        <w:jc w:val="both"/>
        <w:rPr>
          <w:rFonts w:ascii="Times New Roman" w:hAnsi="Times New Roman" w:cs="Times New Roman"/>
          <w:sz w:val="24"/>
          <w:szCs w:val="24"/>
        </w:rPr>
      </w:pPr>
      <w:r>
        <w:rPr>
          <w:rFonts w:ascii="Times New Roman" w:hAnsi="Times New Roman" w:cs="Times New Roman"/>
          <w:sz w:val="24"/>
          <w:szCs w:val="24"/>
        </w:rPr>
        <w:t>In this paper, we examine the e</w:t>
      </w:r>
      <w:r w:rsidRPr="00B1064D">
        <w:rPr>
          <w:rFonts w:ascii="Times New Roman" w:hAnsi="Times New Roman" w:cs="Times New Roman"/>
          <w:sz w:val="24"/>
          <w:szCs w:val="24"/>
        </w:rPr>
        <w:t xml:space="preserve">ffect of </w:t>
      </w:r>
      <w:r>
        <w:rPr>
          <w:rFonts w:ascii="Times New Roman" w:hAnsi="Times New Roman" w:cs="Times New Roman"/>
          <w:sz w:val="24"/>
          <w:szCs w:val="24"/>
        </w:rPr>
        <w:t>c</w:t>
      </w:r>
      <w:r w:rsidRPr="00B1064D">
        <w:rPr>
          <w:rFonts w:ascii="Times New Roman" w:hAnsi="Times New Roman" w:cs="Times New Roman"/>
          <w:sz w:val="24"/>
          <w:szCs w:val="24"/>
        </w:rPr>
        <w:t xml:space="preserve">apitalization </w:t>
      </w:r>
      <w:r>
        <w:rPr>
          <w:rFonts w:ascii="Times New Roman" w:hAnsi="Times New Roman" w:cs="Times New Roman"/>
          <w:sz w:val="24"/>
          <w:szCs w:val="24"/>
        </w:rPr>
        <w:t>vs e</w:t>
      </w:r>
      <w:r w:rsidR="00FC08A2">
        <w:rPr>
          <w:rFonts w:ascii="Times New Roman" w:hAnsi="Times New Roman" w:cs="Times New Roman"/>
          <w:sz w:val="24"/>
          <w:szCs w:val="24"/>
        </w:rPr>
        <w:t xml:space="preserve">xpensing on </w:t>
      </w:r>
      <w:r w:rsidR="008A33EE">
        <w:rPr>
          <w:rFonts w:ascii="Times New Roman" w:hAnsi="Times New Roman" w:cs="Times New Roman"/>
          <w:sz w:val="24"/>
          <w:szCs w:val="24"/>
        </w:rPr>
        <w:t xml:space="preserve">the amount of </w:t>
      </w:r>
      <w:r w:rsidR="00FC08A2">
        <w:rPr>
          <w:rFonts w:ascii="Times New Roman" w:hAnsi="Times New Roman" w:cs="Times New Roman"/>
          <w:sz w:val="24"/>
          <w:szCs w:val="24"/>
        </w:rPr>
        <w:t xml:space="preserve">UK firms’ </w:t>
      </w:r>
      <w:r w:rsidR="00FC08A2" w:rsidRPr="00B1064D">
        <w:rPr>
          <w:rFonts w:ascii="Times New Roman" w:hAnsi="Times New Roman" w:cs="Times New Roman"/>
          <w:sz w:val="24"/>
          <w:szCs w:val="24"/>
        </w:rPr>
        <w:t xml:space="preserve">R&amp;D </w:t>
      </w:r>
      <w:r w:rsidR="00B91BA0">
        <w:rPr>
          <w:rFonts w:ascii="Times New Roman" w:hAnsi="Times New Roman" w:cs="Times New Roman"/>
          <w:sz w:val="24"/>
          <w:szCs w:val="24"/>
        </w:rPr>
        <w:t>e</w:t>
      </w:r>
      <w:r w:rsidR="00B91BA0" w:rsidRPr="00B1064D">
        <w:rPr>
          <w:rFonts w:ascii="Times New Roman" w:hAnsi="Times New Roman" w:cs="Times New Roman"/>
          <w:sz w:val="24"/>
          <w:szCs w:val="24"/>
        </w:rPr>
        <w:t>xpenditures</w:t>
      </w:r>
      <w:r w:rsidR="00FC08A2">
        <w:rPr>
          <w:rFonts w:ascii="Times New Roman" w:hAnsi="Times New Roman" w:cs="Times New Roman"/>
          <w:sz w:val="24"/>
          <w:szCs w:val="24"/>
        </w:rPr>
        <w:t xml:space="preserve">. </w:t>
      </w:r>
      <w:r>
        <w:rPr>
          <w:rFonts w:ascii="Times New Roman" w:hAnsi="Times New Roman" w:cs="Times New Roman"/>
          <w:sz w:val="24"/>
          <w:szCs w:val="24"/>
        </w:rPr>
        <w:t>We focus on the years immediately before and after the UK switched from UK GAAP to IFRS</w:t>
      </w:r>
      <w:r w:rsidR="00393D6F">
        <w:rPr>
          <w:rFonts w:ascii="Times New Roman" w:hAnsi="Times New Roman" w:cs="Times New Roman"/>
          <w:sz w:val="24"/>
          <w:szCs w:val="24"/>
        </w:rPr>
        <w:t xml:space="preserve"> in 2005. Under UK GAAP, firms had the option to capitalize or expense development expenditures; under IFRS, development expenditures must be capitalized.</w:t>
      </w:r>
      <w:r w:rsidR="00566A34">
        <w:rPr>
          <w:rStyle w:val="FootnoteReference"/>
          <w:rFonts w:ascii="Times New Roman" w:hAnsi="Times New Roman" w:cs="Times New Roman"/>
          <w:sz w:val="24"/>
          <w:szCs w:val="24"/>
        </w:rPr>
        <w:footnoteReference w:id="1"/>
      </w:r>
      <w:r w:rsidR="00566A34">
        <w:rPr>
          <w:rFonts w:ascii="Times New Roman" w:hAnsi="Times New Roman" w:cs="Times New Roman"/>
          <w:sz w:val="24"/>
          <w:szCs w:val="24"/>
        </w:rPr>
        <w:t xml:space="preserve"> </w:t>
      </w:r>
      <w:r w:rsidR="00393D6F">
        <w:rPr>
          <w:rFonts w:ascii="Times New Roman" w:hAnsi="Times New Roman" w:cs="Times New Roman"/>
          <w:sz w:val="24"/>
          <w:szCs w:val="24"/>
        </w:rPr>
        <w:t xml:space="preserve"> </w:t>
      </w:r>
      <w:r w:rsidR="007050B8">
        <w:rPr>
          <w:rFonts w:ascii="Times New Roman" w:hAnsi="Times New Roman" w:cs="Times New Roman"/>
          <w:sz w:val="24"/>
          <w:szCs w:val="24"/>
        </w:rPr>
        <w:t>Thus, f</w:t>
      </w:r>
      <w:r w:rsidR="00393D6F">
        <w:rPr>
          <w:rFonts w:ascii="Times New Roman" w:hAnsi="Times New Roman" w:cs="Times New Roman"/>
          <w:sz w:val="24"/>
          <w:szCs w:val="24"/>
        </w:rPr>
        <w:t xml:space="preserve">irms that had capitalized development expenditures under UK GAAP continued to do so, while firms that had expensed them were required to switch to capitalization. </w:t>
      </w:r>
      <w:r w:rsidR="00FC08A2">
        <w:rPr>
          <w:rFonts w:ascii="Times New Roman" w:hAnsi="Times New Roman" w:cs="Times New Roman"/>
          <w:sz w:val="24"/>
          <w:szCs w:val="24"/>
        </w:rPr>
        <w:t>We refe</w:t>
      </w:r>
      <w:r w:rsidR="00901DBA">
        <w:rPr>
          <w:rFonts w:ascii="Times New Roman" w:hAnsi="Times New Roman" w:cs="Times New Roman"/>
          <w:sz w:val="24"/>
          <w:szCs w:val="24"/>
        </w:rPr>
        <w:t>r to these two groups as “capitalizers</w:t>
      </w:r>
      <w:r w:rsidR="00FC08A2">
        <w:rPr>
          <w:rFonts w:ascii="Times New Roman" w:hAnsi="Times New Roman" w:cs="Times New Roman"/>
          <w:sz w:val="24"/>
          <w:szCs w:val="24"/>
        </w:rPr>
        <w:t xml:space="preserve">” and “switchers”, respectively. </w:t>
      </w:r>
      <w:r w:rsidR="007050B8">
        <w:rPr>
          <w:rFonts w:ascii="Times New Roman" w:hAnsi="Times New Roman" w:cs="Times New Roman"/>
          <w:sz w:val="24"/>
          <w:szCs w:val="24"/>
        </w:rPr>
        <w:t>T</w:t>
      </w:r>
      <w:r w:rsidR="00393D6F">
        <w:rPr>
          <w:rFonts w:ascii="Times New Roman" w:hAnsi="Times New Roman" w:cs="Times New Roman"/>
          <w:sz w:val="24"/>
          <w:szCs w:val="24"/>
        </w:rPr>
        <w:t>he accounting change</w:t>
      </w:r>
      <w:r w:rsidR="007050B8">
        <w:rPr>
          <w:rFonts w:ascii="Times New Roman" w:hAnsi="Times New Roman" w:cs="Times New Roman"/>
          <w:sz w:val="24"/>
          <w:szCs w:val="24"/>
        </w:rPr>
        <w:t xml:space="preserve">, therefore, </w:t>
      </w:r>
      <w:r w:rsidR="00393D6F">
        <w:rPr>
          <w:rFonts w:ascii="Times New Roman" w:hAnsi="Times New Roman" w:cs="Times New Roman"/>
          <w:sz w:val="24"/>
          <w:szCs w:val="24"/>
        </w:rPr>
        <w:t>was a “</w:t>
      </w:r>
      <w:r w:rsidR="00836D39">
        <w:rPr>
          <w:rFonts w:ascii="Times New Roman" w:hAnsi="Times New Roman" w:cs="Times New Roman"/>
          <w:sz w:val="24"/>
          <w:szCs w:val="24"/>
        </w:rPr>
        <w:t>quasi-</w:t>
      </w:r>
      <w:r w:rsidR="00393D6F">
        <w:rPr>
          <w:rFonts w:ascii="Times New Roman" w:hAnsi="Times New Roman" w:cs="Times New Roman"/>
          <w:sz w:val="24"/>
          <w:szCs w:val="24"/>
        </w:rPr>
        <w:t xml:space="preserve">experiment”, an exogenous event that affected some firms but not others. </w:t>
      </w:r>
      <w:r w:rsidR="00FC08A2">
        <w:rPr>
          <w:rFonts w:ascii="Times New Roman" w:hAnsi="Times New Roman" w:cs="Times New Roman"/>
          <w:sz w:val="24"/>
          <w:szCs w:val="24"/>
        </w:rPr>
        <w:t>Based on this event, we compar</w:t>
      </w:r>
      <w:r w:rsidR="009D714D">
        <w:rPr>
          <w:rFonts w:ascii="Times New Roman" w:hAnsi="Times New Roman" w:cs="Times New Roman"/>
          <w:sz w:val="24"/>
          <w:szCs w:val="24"/>
        </w:rPr>
        <w:t>e</w:t>
      </w:r>
      <w:r w:rsidR="00FC08A2">
        <w:rPr>
          <w:rFonts w:ascii="Times New Roman" w:hAnsi="Times New Roman" w:cs="Times New Roman"/>
          <w:sz w:val="24"/>
          <w:szCs w:val="24"/>
        </w:rPr>
        <w:t xml:space="preserve"> </w:t>
      </w:r>
      <w:r w:rsidR="00C966BF">
        <w:rPr>
          <w:rFonts w:ascii="Times New Roman" w:hAnsi="Times New Roman" w:cs="Times New Roman"/>
          <w:sz w:val="24"/>
          <w:szCs w:val="24"/>
        </w:rPr>
        <w:t xml:space="preserve">the amount of </w:t>
      </w:r>
      <w:r w:rsidR="00901DBA">
        <w:rPr>
          <w:rFonts w:ascii="Times New Roman" w:hAnsi="Times New Roman" w:cs="Times New Roman"/>
          <w:sz w:val="24"/>
          <w:szCs w:val="24"/>
        </w:rPr>
        <w:t>capitaliz</w:t>
      </w:r>
      <w:r w:rsidR="00FC08A2">
        <w:rPr>
          <w:rFonts w:ascii="Times New Roman" w:hAnsi="Times New Roman" w:cs="Times New Roman"/>
          <w:sz w:val="24"/>
          <w:szCs w:val="24"/>
        </w:rPr>
        <w:t>ers’ vs switchers’ R&amp;D expenditures in the years immediately before vs after the UK switched to IFRS</w:t>
      </w:r>
      <w:r w:rsidR="00B17B3B">
        <w:rPr>
          <w:rFonts w:ascii="Times New Roman" w:hAnsi="Times New Roman" w:cs="Times New Roman"/>
          <w:sz w:val="24"/>
          <w:szCs w:val="24"/>
        </w:rPr>
        <w:t xml:space="preserve"> in</w:t>
      </w:r>
      <w:r w:rsidR="00FC08A2">
        <w:rPr>
          <w:rFonts w:ascii="Times New Roman" w:hAnsi="Times New Roman" w:cs="Times New Roman"/>
          <w:sz w:val="24"/>
          <w:szCs w:val="24"/>
        </w:rPr>
        <w:t xml:space="preserve"> 2005.</w:t>
      </w:r>
      <w:r w:rsidR="00042E8B">
        <w:rPr>
          <w:rFonts w:ascii="Times New Roman" w:hAnsi="Times New Roman" w:cs="Times New Roman"/>
          <w:sz w:val="24"/>
          <w:szCs w:val="24"/>
        </w:rPr>
        <w:t xml:space="preserve"> </w:t>
      </w:r>
      <w:r w:rsidR="00A763C6">
        <w:rPr>
          <w:rFonts w:ascii="Times New Roman" w:hAnsi="Times New Roman" w:cs="Times New Roman"/>
          <w:sz w:val="24"/>
          <w:szCs w:val="24"/>
        </w:rPr>
        <w:t>By comparing how the R&amp;D expenditures of the two groups changed at exactly the same time, we can control for any economy-wide effects</w:t>
      </w:r>
      <w:r w:rsidR="00062A5A">
        <w:rPr>
          <w:rFonts w:ascii="Times New Roman" w:hAnsi="Times New Roman" w:cs="Times New Roman"/>
          <w:sz w:val="24"/>
          <w:szCs w:val="24"/>
        </w:rPr>
        <w:t xml:space="preserve"> or changes in other accounting rules or enforcement </w:t>
      </w:r>
      <w:r w:rsidR="00A763C6">
        <w:rPr>
          <w:rFonts w:ascii="Times New Roman" w:hAnsi="Times New Roman" w:cs="Times New Roman"/>
          <w:sz w:val="24"/>
          <w:szCs w:val="24"/>
        </w:rPr>
        <w:t>common to all firms.</w:t>
      </w:r>
      <w:r w:rsidR="00720F9D">
        <w:rPr>
          <w:rFonts w:ascii="Times New Roman" w:hAnsi="Times New Roman" w:cs="Times New Roman"/>
          <w:sz w:val="24"/>
          <w:szCs w:val="24"/>
        </w:rPr>
        <w:t xml:space="preserve"> </w:t>
      </w:r>
    </w:p>
    <w:p w14:paraId="5EF4DB8B" w14:textId="4ECE6A47" w:rsidR="00E73E57" w:rsidRPr="00D745DA" w:rsidRDefault="00042E8B" w:rsidP="00A92E41">
      <w:pPr>
        <w:spacing w:after="0" w:line="480" w:lineRule="auto"/>
        <w:ind w:firstLine="567"/>
        <w:jc w:val="both"/>
        <w:rPr>
          <w:rFonts w:ascii="Times New Roman" w:hAnsi="Times New Roman" w:cs="Times New Roman"/>
          <w:sz w:val="24"/>
          <w:szCs w:val="24"/>
        </w:rPr>
      </w:pPr>
      <w:r w:rsidRPr="00720F9D">
        <w:rPr>
          <w:rFonts w:ascii="Times New Roman" w:hAnsi="Times New Roman" w:cs="Times New Roman"/>
          <w:sz w:val="24"/>
          <w:szCs w:val="24"/>
        </w:rPr>
        <w:t xml:space="preserve">Our research is important, because understanding the real effects of accounting policies is a fundamental issue for both academics and policymakers. </w:t>
      </w:r>
      <w:r w:rsidR="008A33EE">
        <w:rPr>
          <w:rFonts w:ascii="Times New Roman" w:hAnsi="Times New Roman" w:cs="Times New Roman"/>
          <w:sz w:val="24"/>
          <w:szCs w:val="24"/>
        </w:rPr>
        <w:t xml:space="preserve">While researchers have examined the economic consequences of various accounting policies, there is no reliable evidence </w:t>
      </w:r>
      <w:r w:rsidR="00062A5A">
        <w:rPr>
          <w:rFonts w:ascii="Times New Roman" w:hAnsi="Times New Roman" w:cs="Times New Roman"/>
          <w:sz w:val="24"/>
          <w:szCs w:val="24"/>
        </w:rPr>
        <w:t xml:space="preserve">on the effects </w:t>
      </w:r>
      <w:r w:rsidR="00BF361C">
        <w:rPr>
          <w:rFonts w:ascii="Times New Roman" w:hAnsi="Times New Roman" w:cs="Times New Roman"/>
          <w:sz w:val="24"/>
          <w:szCs w:val="24"/>
        </w:rPr>
        <w:t xml:space="preserve">of </w:t>
      </w:r>
      <w:r w:rsidR="00062A5A">
        <w:rPr>
          <w:rFonts w:ascii="Times New Roman" w:hAnsi="Times New Roman" w:cs="Times New Roman"/>
          <w:sz w:val="24"/>
          <w:szCs w:val="24"/>
        </w:rPr>
        <w:t>changes in R&amp;D accounting rules on</w:t>
      </w:r>
      <w:r w:rsidR="008A33EE">
        <w:rPr>
          <w:rFonts w:ascii="Times New Roman" w:hAnsi="Times New Roman" w:cs="Times New Roman"/>
          <w:sz w:val="24"/>
          <w:szCs w:val="24"/>
        </w:rPr>
        <w:t xml:space="preserve"> </w:t>
      </w:r>
      <w:r w:rsidR="00062A5A">
        <w:rPr>
          <w:rFonts w:ascii="Times New Roman" w:hAnsi="Times New Roman" w:cs="Times New Roman"/>
          <w:sz w:val="24"/>
          <w:szCs w:val="24"/>
        </w:rPr>
        <w:t xml:space="preserve">firms’ </w:t>
      </w:r>
      <w:r w:rsidR="008A33EE">
        <w:rPr>
          <w:rFonts w:ascii="Times New Roman" w:hAnsi="Times New Roman" w:cs="Times New Roman"/>
          <w:sz w:val="24"/>
          <w:szCs w:val="24"/>
        </w:rPr>
        <w:t>R&amp;D</w:t>
      </w:r>
      <w:r w:rsidR="00062A5A">
        <w:rPr>
          <w:rFonts w:ascii="Times New Roman" w:hAnsi="Times New Roman" w:cs="Times New Roman"/>
          <w:sz w:val="24"/>
          <w:szCs w:val="24"/>
        </w:rPr>
        <w:t xml:space="preserve"> investments</w:t>
      </w:r>
      <w:r w:rsidR="008A33EE">
        <w:rPr>
          <w:rFonts w:ascii="Times New Roman" w:hAnsi="Times New Roman" w:cs="Times New Roman"/>
          <w:sz w:val="24"/>
          <w:szCs w:val="24"/>
        </w:rPr>
        <w:t xml:space="preserve">. </w:t>
      </w:r>
      <w:r w:rsidR="00350990" w:rsidRPr="00720F9D">
        <w:rPr>
          <w:rFonts w:ascii="Times New Roman" w:hAnsi="Times New Roman" w:cs="Times New Roman"/>
          <w:sz w:val="24"/>
          <w:szCs w:val="24"/>
        </w:rPr>
        <w:t xml:space="preserve">The accounting policy issue is especially important for R&amp;D, because of concerns that </w:t>
      </w:r>
      <w:r w:rsidR="00720F9D" w:rsidRPr="00720F9D">
        <w:rPr>
          <w:rFonts w:ascii="Times New Roman" w:hAnsi="Times New Roman" w:cs="Times New Roman"/>
          <w:sz w:val="24"/>
          <w:szCs w:val="24"/>
        </w:rPr>
        <w:t xml:space="preserve">the accounting method may affect the </w:t>
      </w:r>
      <w:r w:rsidR="00720F9D" w:rsidRPr="00720F9D">
        <w:rPr>
          <w:rFonts w:ascii="Times New Roman" w:hAnsi="Times New Roman" w:cs="Times New Roman"/>
          <w:sz w:val="24"/>
          <w:szCs w:val="24"/>
        </w:rPr>
        <w:lastRenderedPageBreak/>
        <w:t>amount of firms’</w:t>
      </w:r>
      <w:r w:rsidR="00A06770">
        <w:rPr>
          <w:rFonts w:ascii="Times New Roman" w:hAnsi="Times New Roman" w:cs="Times New Roman"/>
          <w:sz w:val="24"/>
          <w:szCs w:val="24"/>
        </w:rPr>
        <w:t xml:space="preserve"> R&amp;D</w:t>
      </w:r>
      <w:r w:rsidR="002A02FC">
        <w:rPr>
          <w:rFonts w:ascii="Times New Roman" w:hAnsi="Times New Roman" w:cs="Times New Roman"/>
          <w:sz w:val="24"/>
          <w:szCs w:val="24"/>
        </w:rPr>
        <w:t xml:space="preserve"> investments</w:t>
      </w:r>
      <w:r w:rsidR="00E73E57">
        <w:rPr>
          <w:rFonts w:ascii="Times New Roman" w:hAnsi="Times New Roman" w:cs="Times New Roman"/>
          <w:sz w:val="24"/>
          <w:szCs w:val="24"/>
        </w:rPr>
        <w:t xml:space="preserve">, and thereby affect innovation and economic growth. </w:t>
      </w:r>
      <w:r w:rsidR="00D745DA">
        <w:rPr>
          <w:rFonts w:ascii="Times New Roman" w:hAnsi="Times New Roman" w:cs="Times New Roman"/>
          <w:sz w:val="24"/>
          <w:szCs w:val="24"/>
        </w:rPr>
        <w:t xml:space="preserve">Because of its importance, </w:t>
      </w:r>
      <w:r w:rsidR="00D745DA" w:rsidRPr="00D745DA">
        <w:rPr>
          <w:rFonts w:ascii="Times New Roman" w:hAnsi="Times New Roman" w:cs="Times New Roman"/>
          <w:sz w:val="24"/>
          <w:szCs w:val="24"/>
        </w:rPr>
        <w:t xml:space="preserve">there has been </w:t>
      </w:r>
      <w:r w:rsidR="00D745DA">
        <w:rPr>
          <w:rFonts w:ascii="Times New Roman" w:hAnsi="Times New Roman" w:cs="Times New Roman"/>
          <w:sz w:val="24"/>
          <w:szCs w:val="24"/>
        </w:rPr>
        <w:t xml:space="preserve">a large </w:t>
      </w:r>
      <w:r w:rsidR="00D745DA" w:rsidRPr="00D745DA">
        <w:rPr>
          <w:rFonts w:ascii="Times New Roman" w:hAnsi="Times New Roman" w:cs="Times New Roman"/>
          <w:sz w:val="24"/>
          <w:szCs w:val="24"/>
        </w:rPr>
        <w:t>debate about accounting for R&amp;D in the U</w:t>
      </w:r>
      <w:r w:rsidR="00D745DA">
        <w:rPr>
          <w:rFonts w:ascii="Times New Roman" w:hAnsi="Times New Roman" w:cs="Times New Roman"/>
          <w:sz w:val="24"/>
          <w:szCs w:val="24"/>
        </w:rPr>
        <w:t>.</w:t>
      </w:r>
      <w:r w:rsidR="00D745DA" w:rsidRPr="00D745DA">
        <w:rPr>
          <w:rFonts w:ascii="Times New Roman" w:hAnsi="Times New Roman" w:cs="Times New Roman"/>
          <w:sz w:val="24"/>
          <w:szCs w:val="24"/>
        </w:rPr>
        <w:t>S</w:t>
      </w:r>
      <w:r w:rsidR="00D745DA">
        <w:rPr>
          <w:rFonts w:ascii="Times New Roman" w:hAnsi="Times New Roman" w:cs="Times New Roman"/>
          <w:sz w:val="24"/>
          <w:szCs w:val="24"/>
        </w:rPr>
        <w:t xml:space="preserve">.  </w:t>
      </w:r>
      <w:r w:rsidR="00D745DA" w:rsidRPr="00D745DA">
        <w:rPr>
          <w:rFonts w:ascii="Times New Roman" w:hAnsi="Times New Roman" w:cs="Times New Roman"/>
          <w:sz w:val="24"/>
          <w:szCs w:val="24"/>
        </w:rPr>
        <w:t>More</w:t>
      </w:r>
      <w:r w:rsidR="00D745DA">
        <w:rPr>
          <w:rFonts w:ascii="Times New Roman" w:hAnsi="Times New Roman" w:cs="Times New Roman"/>
          <w:sz w:val="24"/>
          <w:szCs w:val="24"/>
        </w:rPr>
        <w:t xml:space="preserve">over, R&amp;D accounting </w:t>
      </w:r>
      <w:r w:rsidR="00D745DA" w:rsidRPr="00D745DA">
        <w:rPr>
          <w:rFonts w:ascii="Times New Roman" w:hAnsi="Times New Roman" w:cs="Times New Roman"/>
          <w:sz w:val="24"/>
          <w:szCs w:val="24"/>
        </w:rPr>
        <w:t xml:space="preserve">is </w:t>
      </w:r>
      <w:r w:rsidR="001F5267">
        <w:rPr>
          <w:rFonts w:ascii="Times New Roman" w:hAnsi="Times New Roman" w:cs="Times New Roman"/>
          <w:sz w:val="24"/>
          <w:szCs w:val="24"/>
        </w:rPr>
        <w:t>“</w:t>
      </w:r>
      <w:r w:rsidR="00D745DA" w:rsidRPr="00D745DA">
        <w:rPr>
          <w:rFonts w:ascii="Times New Roman" w:hAnsi="Times New Roman" w:cs="Times New Roman"/>
          <w:sz w:val="24"/>
          <w:szCs w:val="24"/>
        </w:rPr>
        <w:t xml:space="preserve">one of the </w:t>
      </w:r>
      <w:r w:rsidR="001F5267">
        <w:rPr>
          <w:rFonts w:ascii="Times New Roman" w:hAnsi="Times New Roman" w:cs="Times New Roman"/>
          <w:sz w:val="24"/>
          <w:szCs w:val="24"/>
        </w:rPr>
        <w:t>most pronounced</w:t>
      </w:r>
      <w:r w:rsidR="00D745DA" w:rsidRPr="00D745DA">
        <w:rPr>
          <w:rFonts w:ascii="Times New Roman" w:hAnsi="Times New Roman" w:cs="Times New Roman"/>
          <w:sz w:val="24"/>
          <w:szCs w:val="24"/>
        </w:rPr>
        <w:t xml:space="preserve"> differences between US GAAP and IFRS</w:t>
      </w:r>
      <w:r w:rsidR="001F5267">
        <w:rPr>
          <w:rFonts w:ascii="Times New Roman" w:hAnsi="Times New Roman" w:cs="Times New Roman"/>
          <w:sz w:val="24"/>
          <w:szCs w:val="24"/>
        </w:rPr>
        <w:t>” (Chen</w:t>
      </w:r>
      <w:r w:rsidR="00BF361C">
        <w:rPr>
          <w:rFonts w:ascii="Times New Roman" w:hAnsi="Times New Roman" w:cs="Times New Roman"/>
          <w:sz w:val="24"/>
          <w:szCs w:val="24"/>
        </w:rPr>
        <w:t>, Gavious and Lev,</w:t>
      </w:r>
      <w:r w:rsidR="001F5267">
        <w:rPr>
          <w:rFonts w:ascii="Times New Roman" w:hAnsi="Times New Roman" w:cs="Times New Roman"/>
          <w:sz w:val="24"/>
          <w:szCs w:val="24"/>
        </w:rPr>
        <w:t xml:space="preserve"> 2017)</w:t>
      </w:r>
      <w:r w:rsidR="00D745DA" w:rsidRPr="00D745DA">
        <w:rPr>
          <w:rFonts w:ascii="Times New Roman" w:hAnsi="Times New Roman" w:cs="Times New Roman"/>
          <w:sz w:val="24"/>
          <w:szCs w:val="24"/>
        </w:rPr>
        <w:t xml:space="preserve">, and it is important for </w:t>
      </w:r>
      <w:r w:rsidR="00D745DA">
        <w:rPr>
          <w:rFonts w:ascii="Times New Roman" w:hAnsi="Times New Roman" w:cs="Times New Roman"/>
          <w:sz w:val="24"/>
          <w:szCs w:val="24"/>
        </w:rPr>
        <w:t xml:space="preserve">U.S. regulators </w:t>
      </w:r>
      <w:r w:rsidR="00D745DA" w:rsidRPr="00D745DA">
        <w:rPr>
          <w:rFonts w:ascii="Times New Roman" w:hAnsi="Times New Roman" w:cs="Times New Roman"/>
          <w:sz w:val="24"/>
          <w:szCs w:val="24"/>
        </w:rPr>
        <w:t>to see th</w:t>
      </w:r>
      <w:r w:rsidR="00D745DA">
        <w:rPr>
          <w:rFonts w:ascii="Times New Roman" w:hAnsi="Times New Roman" w:cs="Times New Roman"/>
          <w:sz w:val="24"/>
          <w:szCs w:val="24"/>
        </w:rPr>
        <w:t xml:space="preserve">e effects of R&amp;D capitalization in a major capital market. </w:t>
      </w:r>
      <w:r w:rsidR="00400C3A">
        <w:rPr>
          <w:rFonts w:ascii="Times New Roman" w:hAnsi="Times New Roman" w:cs="Times New Roman"/>
          <w:sz w:val="24"/>
          <w:szCs w:val="24"/>
        </w:rPr>
        <w:t>By providing</w:t>
      </w:r>
      <w:r w:rsidR="00400C3A" w:rsidRPr="00D745DA">
        <w:rPr>
          <w:rFonts w:ascii="Times New Roman" w:hAnsi="Times New Roman" w:cs="Times New Roman"/>
          <w:sz w:val="24"/>
          <w:szCs w:val="24"/>
        </w:rPr>
        <w:t xml:space="preserve"> empirical evidence </w:t>
      </w:r>
      <w:r w:rsidR="00400C3A">
        <w:rPr>
          <w:rFonts w:ascii="Times New Roman" w:hAnsi="Times New Roman" w:cs="Times New Roman"/>
          <w:sz w:val="24"/>
          <w:szCs w:val="24"/>
        </w:rPr>
        <w:t xml:space="preserve">on this important issue, we answer </w:t>
      </w:r>
      <w:r w:rsidR="00671FB0">
        <w:rPr>
          <w:rFonts w:ascii="Times New Roman" w:hAnsi="Times New Roman" w:cs="Times New Roman"/>
          <w:sz w:val="24"/>
          <w:szCs w:val="24"/>
        </w:rPr>
        <w:t>the call for research by Roychowdhury</w:t>
      </w:r>
      <w:r w:rsidR="00BF361C">
        <w:rPr>
          <w:rFonts w:ascii="Times New Roman" w:hAnsi="Times New Roman" w:cs="Times New Roman"/>
          <w:sz w:val="24"/>
          <w:szCs w:val="24"/>
        </w:rPr>
        <w:t>, Shroff and Verdi</w:t>
      </w:r>
      <w:r w:rsidR="00671FB0">
        <w:rPr>
          <w:rFonts w:ascii="Times New Roman" w:hAnsi="Times New Roman" w:cs="Times New Roman"/>
          <w:sz w:val="24"/>
          <w:szCs w:val="24"/>
        </w:rPr>
        <w:t xml:space="preserve"> </w:t>
      </w:r>
      <w:r w:rsidR="00E32522">
        <w:rPr>
          <w:rFonts w:ascii="Times New Roman" w:hAnsi="Times New Roman" w:cs="Times New Roman"/>
          <w:sz w:val="24"/>
          <w:szCs w:val="24"/>
        </w:rPr>
        <w:t>(</w:t>
      </w:r>
      <w:r w:rsidR="00671FB0">
        <w:rPr>
          <w:rFonts w:ascii="Times New Roman" w:hAnsi="Times New Roman" w:cs="Times New Roman"/>
          <w:sz w:val="24"/>
          <w:szCs w:val="24"/>
        </w:rPr>
        <w:t>2019</w:t>
      </w:r>
      <w:r w:rsidR="00A92E41">
        <w:rPr>
          <w:rFonts w:ascii="Times New Roman" w:hAnsi="Times New Roman" w:cs="Times New Roman"/>
          <w:sz w:val="24"/>
          <w:szCs w:val="24"/>
        </w:rPr>
        <w:t>)</w:t>
      </w:r>
      <w:r w:rsidR="00400C3A">
        <w:rPr>
          <w:rFonts w:ascii="Times New Roman" w:hAnsi="Times New Roman" w:cs="Times New Roman"/>
          <w:sz w:val="24"/>
          <w:szCs w:val="24"/>
        </w:rPr>
        <w:t>.</w:t>
      </w:r>
    </w:p>
    <w:p w14:paraId="77C23ADB" w14:textId="1B01BE9A" w:rsidR="00206889" w:rsidRPr="001F46EC" w:rsidRDefault="00206889" w:rsidP="00A92E41">
      <w:pPr>
        <w:pStyle w:val="FootnoteText"/>
        <w:spacing w:line="480" w:lineRule="auto"/>
        <w:ind w:firstLine="567"/>
        <w:jc w:val="both"/>
        <w:rPr>
          <w:sz w:val="24"/>
          <w:szCs w:val="24"/>
        </w:rPr>
      </w:pPr>
      <w:r w:rsidRPr="001F46EC">
        <w:rPr>
          <w:rFonts w:ascii="Times New Roman" w:hAnsi="Times New Roman" w:cs="Times New Roman"/>
          <w:sz w:val="24"/>
          <w:szCs w:val="24"/>
        </w:rPr>
        <w:t>Researchers have been interested in the effects of capitalization vs expensing of R&amp;D since at least the 1970’s, when the FASB issued SFAS No. 2, requiring U.S. companies to expense R&amp;D expenditures.</w:t>
      </w:r>
      <w:r w:rsidRPr="001F46EC">
        <w:rPr>
          <w:rStyle w:val="FootnoteReference"/>
          <w:rFonts w:ascii="Times New Roman" w:hAnsi="Times New Roman" w:cs="Times New Roman"/>
          <w:sz w:val="24"/>
          <w:szCs w:val="24"/>
        </w:rPr>
        <w:footnoteReference w:id="2"/>
      </w:r>
      <w:r w:rsidR="00C22513" w:rsidRPr="001F46EC">
        <w:rPr>
          <w:rFonts w:ascii="Times New Roman" w:hAnsi="Times New Roman" w:cs="Times New Roman"/>
          <w:sz w:val="24"/>
          <w:szCs w:val="24"/>
        </w:rPr>
        <w:t xml:space="preserve"> </w:t>
      </w:r>
      <w:r w:rsidR="00F05DEC" w:rsidRPr="001F46EC">
        <w:rPr>
          <w:rFonts w:ascii="Times New Roman" w:hAnsi="Times New Roman" w:cs="Times New Roman"/>
          <w:sz w:val="24"/>
          <w:szCs w:val="24"/>
        </w:rPr>
        <w:t xml:space="preserve">However, </w:t>
      </w:r>
      <w:r w:rsidR="00671FB0">
        <w:rPr>
          <w:rFonts w:ascii="Times New Roman" w:hAnsi="Times New Roman" w:cs="Times New Roman"/>
          <w:sz w:val="24"/>
          <w:szCs w:val="24"/>
        </w:rPr>
        <w:t>prior</w:t>
      </w:r>
      <w:r w:rsidR="00F05DEC" w:rsidRPr="001F46EC">
        <w:rPr>
          <w:rFonts w:ascii="Times New Roman" w:hAnsi="Times New Roman" w:cs="Times New Roman"/>
          <w:sz w:val="24"/>
          <w:szCs w:val="24"/>
        </w:rPr>
        <w:t xml:space="preserve"> work was plagued by inconsistent and inadequate disclosures, </w:t>
      </w:r>
      <w:r w:rsidR="00F66CB2" w:rsidRPr="001F46EC">
        <w:rPr>
          <w:rFonts w:ascii="Times New Roman" w:hAnsi="Times New Roman" w:cs="Times New Roman"/>
          <w:sz w:val="24"/>
          <w:szCs w:val="24"/>
        </w:rPr>
        <w:t xml:space="preserve">often requiring hand collection, </w:t>
      </w:r>
      <w:r w:rsidR="00F05DEC" w:rsidRPr="001F46EC">
        <w:rPr>
          <w:rFonts w:ascii="Times New Roman" w:hAnsi="Times New Roman" w:cs="Times New Roman"/>
          <w:sz w:val="24"/>
          <w:szCs w:val="24"/>
        </w:rPr>
        <w:t>leading to small samples and resultant inconclusive results.</w:t>
      </w:r>
      <w:r w:rsidR="008C6387" w:rsidRPr="001F46EC">
        <w:rPr>
          <w:rFonts w:ascii="Times New Roman" w:hAnsi="Times New Roman" w:cs="Times New Roman"/>
          <w:sz w:val="24"/>
          <w:szCs w:val="24"/>
        </w:rPr>
        <w:t xml:space="preserve"> </w:t>
      </w:r>
      <w:r w:rsidR="001F46EC" w:rsidRPr="001F46EC">
        <w:rPr>
          <w:rFonts w:ascii="Times New Roman" w:hAnsi="Times New Roman" w:cs="Times New Roman"/>
          <w:sz w:val="24"/>
          <w:szCs w:val="24"/>
        </w:rPr>
        <w:t xml:space="preserve">For example, </w:t>
      </w:r>
      <w:r w:rsidR="00C67FA1" w:rsidRPr="001F46EC">
        <w:rPr>
          <w:rFonts w:ascii="Times New Roman" w:hAnsi="Times New Roman" w:cs="Times New Roman"/>
          <w:sz w:val="24"/>
          <w:szCs w:val="24"/>
        </w:rPr>
        <w:t>prior to SFAS 2</w:t>
      </w:r>
      <w:r w:rsidR="00C67FA1">
        <w:rPr>
          <w:rFonts w:ascii="Times New Roman" w:hAnsi="Times New Roman" w:cs="Times New Roman"/>
          <w:sz w:val="24"/>
          <w:szCs w:val="24"/>
        </w:rPr>
        <w:t xml:space="preserve"> </w:t>
      </w:r>
      <w:r w:rsidR="001F46EC" w:rsidRPr="001F46EC">
        <w:rPr>
          <w:rFonts w:ascii="Times New Roman" w:hAnsi="Times New Roman" w:cs="Times New Roman"/>
          <w:sz w:val="24"/>
          <w:szCs w:val="24"/>
        </w:rPr>
        <w:t>Dukes, Dyckman, and Elliott (1980) point out that there was no uniform definition of R&amp;D expenditures that firms used</w:t>
      </w:r>
      <w:r w:rsidR="00C67FA1">
        <w:rPr>
          <w:rFonts w:ascii="Times New Roman" w:hAnsi="Times New Roman" w:cs="Times New Roman"/>
          <w:sz w:val="24"/>
          <w:szCs w:val="24"/>
        </w:rPr>
        <w:t>, and Elliott</w:t>
      </w:r>
      <w:r w:rsidR="00D24BD1">
        <w:rPr>
          <w:rFonts w:ascii="Times New Roman" w:hAnsi="Times New Roman" w:cs="Times New Roman"/>
          <w:sz w:val="24"/>
          <w:szCs w:val="24"/>
        </w:rPr>
        <w:t>, Richardson</w:t>
      </w:r>
      <w:r w:rsidR="00E23F81">
        <w:rPr>
          <w:rFonts w:ascii="Times New Roman" w:hAnsi="Times New Roman" w:cs="Times New Roman"/>
          <w:sz w:val="24"/>
          <w:szCs w:val="24"/>
        </w:rPr>
        <w:t>, Dyckman</w:t>
      </w:r>
      <w:r w:rsidR="00D24BD1">
        <w:rPr>
          <w:rFonts w:ascii="Times New Roman" w:hAnsi="Times New Roman" w:cs="Times New Roman"/>
          <w:sz w:val="24"/>
          <w:szCs w:val="24"/>
        </w:rPr>
        <w:t xml:space="preserve"> and Dukes</w:t>
      </w:r>
      <w:r w:rsidR="00C67FA1">
        <w:rPr>
          <w:rFonts w:ascii="Times New Roman" w:hAnsi="Times New Roman" w:cs="Times New Roman"/>
          <w:sz w:val="24"/>
          <w:szCs w:val="24"/>
        </w:rPr>
        <w:t xml:space="preserve"> (1984) point out that capitalizers often reported R&amp;D amortization expense without reporting R&amp;D expenditures, both of which </w:t>
      </w:r>
      <w:r w:rsidR="001F46EC" w:rsidRPr="001F46EC">
        <w:rPr>
          <w:rFonts w:ascii="Times New Roman" w:hAnsi="Times New Roman" w:cs="Times New Roman"/>
          <w:sz w:val="24"/>
          <w:szCs w:val="24"/>
        </w:rPr>
        <w:t>mak</w:t>
      </w:r>
      <w:r w:rsidR="00C67FA1">
        <w:rPr>
          <w:rFonts w:ascii="Times New Roman" w:hAnsi="Times New Roman" w:cs="Times New Roman"/>
          <w:sz w:val="24"/>
          <w:szCs w:val="24"/>
        </w:rPr>
        <w:t>e</w:t>
      </w:r>
      <w:r w:rsidR="001F46EC" w:rsidRPr="001F46EC">
        <w:rPr>
          <w:rFonts w:ascii="Times New Roman" w:hAnsi="Times New Roman" w:cs="Times New Roman"/>
          <w:sz w:val="24"/>
          <w:szCs w:val="24"/>
        </w:rPr>
        <w:t xml:space="preserve"> comparisons across firms difficult. Horowitz and Kolodny’s (198</w:t>
      </w:r>
      <w:r w:rsidR="00FE5129">
        <w:rPr>
          <w:rFonts w:ascii="Times New Roman" w:hAnsi="Times New Roman" w:cs="Times New Roman"/>
          <w:sz w:val="24"/>
          <w:szCs w:val="24"/>
        </w:rPr>
        <w:t>0</w:t>
      </w:r>
      <w:r w:rsidR="001F46EC" w:rsidRPr="001F46EC">
        <w:rPr>
          <w:rFonts w:ascii="Times New Roman" w:hAnsi="Times New Roman" w:cs="Times New Roman"/>
          <w:sz w:val="24"/>
          <w:szCs w:val="24"/>
        </w:rPr>
        <w:t xml:space="preserve">) sample contained </w:t>
      </w:r>
      <w:r w:rsidR="000D10C2">
        <w:rPr>
          <w:rFonts w:ascii="Times New Roman" w:hAnsi="Times New Roman" w:cs="Times New Roman"/>
          <w:sz w:val="24"/>
          <w:szCs w:val="24"/>
        </w:rPr>
        <w:t xml:space="preserve">only </w:t>
      </w:r>
      <w:r w:rsidR="001F46EC" w:rsidRPr="001F46EC">
        <w:rPr>
          <w:rFonts w:ascii="Times New Roman" w:hAnsi="Times New Roman" w:cs="Times New Roman"/>
          <w:sz w:val="24"/>
          <w:szCs w:val="24"/>
        </w:rPr>
        <w:t>43 firms, while Du</w:t>
      </w:r>
      <w:r w:rsidR="001F46EC">
        <w:rPr>
          <w:rFonts w:ascii="Times New Roman" w:hAnsi="Times New Roman" w:cs="Times New Roman"/>
          <w:sz w:val="24"/>
          <w:szCs w:val="24"/>
        </w:rPr>
        <w:t>kes</w:t>
      </w:r>
      <w:r w:rsidR="00E23F81">
        <w:rPr>
          <w:rFonts w:ascii="Times New Roman" w:hAnsi="Times New Roman" w:cs="Times New Roman"/>
          <w:sz w:val="24"/>
          <w:szCs w:val="24"/>
        </w:rPr>
        <w:t xml:space="preserve"> et al.</w:t>
      </w:r>
      <w:r w:rsidR="001F46EC">
        <w:rPr>
          <w:rFonts w:ascii="Times New Roman" w:hAnsi="Times New Roman" w:cs="Times New Roman"/>
          <w:sz w:val="24"/>
          <w:szCs w:val="24"/>
        </w:rPr>
        <w:t xml:space="preserve"> </w:t>
      </w:r>
      <w:r w:rsidR="00B413B9">
        <w:rPr>
          <w:rFonts w:ascii="Times New Roman" w:hAnsi="Times New Roman" w:cs="Times New Roman"/>
          <w:sz w:val="24"/>
          <w:szCs w:val="24"/>
        </w:rPr>
        <w:t xml:space="preserve">(1980) </w:t>
      </w:r>
      <w:r w:rsidR="001F46EC" w:rsidRPr="001F46EC">
        <w:rPr>
          <w:rFonts w:ascii="Times New Roman" w:hAnsi="Times New Roman" w:cs="Times New Roman"/>
          <w:sz w:val="24"/>
          <w:szCs w:val="24"/>
        </w:rPr>
        <w:t>used a matched sample of</w:t>
      </w:r>
      <w:r w:rsidR="000D10C2">
        <w:rPr>
          <w:rFonts w:ascii="Times New Roman" w:hAnsi="Times New Roman" w:cs="Times New Roman"/>
          <w:sz w:val="24"/>
          <w:szCs w:val="24"/>
        </w:rPr>
        <w:t xml:space="preserve"> only</w:t>
      </w:r>
      <w:r w:rsidR="001F46EC" w:rsidRPr="001F46EC">
        <w:rPr>
          <w:rFonts w:ascii="Times New Roman" w:hAnsi="Times New Roman" w:cs="Times New Roman"/>
          <w:sz w:val="24"/>
          <w:szCs w:val="24"/>
        </w:rPr>
        <w:t xml:space="preserve"> 24 expensers and 23 capitalizers.</w:t>
      </w:r>
      <w:r w:rsidR="001F46EC">
        <w:rPr>
          <w:rFonts w:ascii="Times New Roman" w:hAnsi="Times New Roman" w:cs="Times New Roman"/>
          <w:sz w:val="24"/>
          <w:szCs w:val="24"/>
        </w:rPr>
        <w:t xml:space="preserve"> </w:t>
      </w:r>
      <w:r w:rsidR="000D10C2">
        <w:rPr>
          <w:rFonts w:ascii="Times New Roman" w:hAnsi="Times New Roman" w:cs="Times New Roman"/>
          <w:sz w:val="24"/>
          <w:szCs w:val="24"/>
        </w:rPr>
        <w:t xml:space="preserve">Exacerbating the bad data and small sample problems were confounding economic events such as the energy crisis and recession around the time of SFAS 2. Because of these problems, this research produced inconsistent and unreliable results. </w:t>
      </w:r>
      <w:r w:rsidR="00F05DEC" w:rsidRPr="001F46EC">
        <w:rPr>
          <w:rFonts w:ascii="Times New Roman" w:hAnsi="Times New Roman" w:cs="Times New Roman"/>
          <w:sz w:val="24"/>
          <w:szCs w:val="24"/>
        </w:rPr>
        <w:t xml:space="preserve">The </w:t>
      </w:r>
      <w:r w:rsidR="007802DE">
        <w:rPr>
          <w:rFonts w:ascii="Times New Roman" w:hAnsi="Times New Roman" w:cs="Times New Roman"/>
          <w:sz w:val="24"/>
          <w:szCs w:val="24"/>
        </w:rPr>
        <w:t>UK</w:t>
      </w:r>
      <w:r w:rsidR="00F05DEC" w:rsidRPr="001F46EC">
        <w:rPr>
          <w:rFonts w:ascii="Times New Roman" w:hAnsi="Times New Roman" w:cs="Times New Roman"/>
          <w:sz w:val="24"/>
          <w:szCs w:val="24"/>
        </w:rPr>
        <w:t>’s switch to IFRS provides an opportunity to reexamine these important questions on a large</w:t>
      </w:r>
      <w:r w:rsidR="00CE59D6">
        <w:rPr>
          <w:rFonts w:ascii="Times New Roman" w:hAnsi="Times New Roman" w:cs="Times New Roman"/>
          <w:sz w:val="24"/>
          <w:szCs w:val="24"/>
        </w:rPr>
        <w:t>r</w:t>
      </w:r>
      <w:r w:rsidR="00F05DEC" w:rsidRPr="001F46EC">
        <w:rPr>
          <w:rFonts w:ascii="Times New Roman" w:hAnsi="Times New Roman" w:cs="Times New Roman"/>
          <w:sz w:val="24"/>
          <w:szCs w:val="24"/>
        </w:rPr>
        <w:t xml:space="preserve"> sample in a</w:t>
      </w:r>
      <w:r w:rsidR="00900613">
        <w:rPr>
          <w:rFonts w:ascii="Times New Roman" w:hAnsi="Times New Roman" w:cs="Times New Roman"/>
          <w:sz w:val="24"/>
          <w:szCs w:val="24"/>
        </w:rPr>
        <w:t>n important,</w:t>
      </w:r>
      <w:r w:rsidR="00F05DEC" w:rsidRPr="001F46EC">
        <w:rPr>
          <w:rFonts w:ascii="Times New Roman" w:hAnsi="Times New Roman" w:cs="Times New Roman"/>
          <w:sz w:val="24"/>
          <w:szCs w:val="24"/>
        </w:rPr>
        <w:t xml:space="preserve"> major capital market. </w:t>
      </w:r>
      <w:r w:rsidR="0030646B">
        <w:rPr>
          <w:rFonts w:ascii="Times New Roman" w:hAnsi="Times New Roman" w:cs="Times New Roman"/>
          <w:sz w:val="24"/>
          <w:szCs w:val="24"/>
        </w:rPr>
        <w:t xml:space="preserve">Because UK GAAP permitted both capitalization and expensing of development costs, the </w:t>
      </w:r>
      <w:r w:rsidR="00821745">
        <w:rPr>
          <w:rFonts w:ascii="Times New Roman" w:hAnsi="Times New Roman" w:cs="Times New Roman"/>
          <w:sz w:val="24"/>
          <w:szCs w:val="24"/>
        </w:rPr>
        <w:t>UK setting is not e</w:t>
      </w:r>
      <w:r w:rsidR="0030646B">
        <w:rPr>
          <w:rFonts w:ascii="Times New Roman" w:hAnsi="Times New Roman" w:cs="Times New Roman"/>
          <w:sz w:val="24"/>
          <w:szCs w:val="24"/>
        </w:rPr>
        <w:t xml:space="preserve">xactly </w:t>
      </w:r>
      <w:r w:rsidR="00821745">
        <w:rPr>
          <w:rFonts w:ascii="Times New Roman" w:hAnsi="Times New Roman" w:cs="Times New Roman"/>
          <w:sz w:val="24"/>
          <w:szCs w:val="24"/>
        </w:rPr>
        <w:t xml:space="preserve">identical to </w:t>
      </w:r>
      <w:r w:rsidR="0030646B">
        <w:rPr>
          <w:rFonts w:ascii="Times New Roman" w:hAnsi="Times New Roman" w:cs="Times New Roman"/>
          <w:sz w:val="24"/>
          <w:szCs w:val="24"/>
        </w:rPr>
        <w:t xml:space="preserve">countries such as the U.S., where capitalization is generally not allowed. However, because the switch to IFRS </w:t>
      </w:r>
      <w:r w:rsidR="0030646B">
        <w:rPr>
          <w:rFonts w:ascii="Times New Roman" w:hAnsi="Times New Roman" w:cs="Times New Roman"/>
          <w:sz w:val="24"/>
          <w:szCs w:val="24"/>
        </w:rPr>
        <w:lastRenderedPageBreak/>
        <w:t xml:space="preserve">mandated </w:t>
      </w:r>
      <w:r w:rsidR="004B0C71">
        <w:rPr>
          <w:rFonts w:ascii="Times New Roman" w:hAnsi="Times New Roman" w:cs="Times New Roman"/>
          <w:sz w:val="24"/>
          <w:szCs w:val="24"/>
        </w:rPr>
        <w:t>that firms</w:t>
      </w:r>
      <w:r w:rsidR="0030646B">
        <w:rPr>
          <w:rFonts w:ascii="Times New Roman" w:hAnsi="Times New Roman" w:cs="Times New Roman"/>
          <w:sz w:val="24"/>
          <w:szCs w:val="24"/>
        </w:rPr>
        <w:t xml:space="preserve"> switch methods, our tests provide </w:t>
      </w:r>
      <w:r w:rsidR="00BB295A">
        <w:rPr>
          <w:rFonts w:ascii="Times New Roman" w:hAnsi="Times New Roman" w:cs="Times New Roman"/>
          <w:sz w:val="24"/>
          <w:szCs w:val="24"/>
        </w:rPr>
        <w:t xml:space="preserve">the first empirical </w:t>
      </w:r>
      <w:r w:rsidR="0030646B">
        <w:rPr>
          <w:rFonts w:ascii="Times New Roman" w:hAnsi="Times New Roman" w:cs="Times New Roman"/>
          <w:sz w:val="24"/>
          <w:szCs w:val="24"/>
        </w:rPr>
        <w:t>guidance for what the effects of such a mandatory change might be e</w:t>
      </w:r>
      <w:r w:rsidR="00BB295A">
        <w:rPr>
          <w:rFonts w:ascii="Times New Roman" w:hAnsi="Times New Roman" w:cs="Times New Roman"/>
          <w:sz w:val="24"/>
          <w:szCs w:val="24"/>
        </w:rPr>
        <w:t xml:space="preserve">lsewhere. </w:t>
      </w:r>
      <w:r w:rsidR="00F05DEC" w:rsidRPr="001F46EC">
        <w:rPr>
          <w:rFonts w:ascii="Times New Roman" w:hAnsi="Times New Roman" w:cs="Times New Roman"/>
          <w:sz w:val="24"/>
          <w:szCs w:val="24"/>
        </w:rPr>
        <w:t xml:space="preserve">Thus, our results may be generalizable to other </w:t>
      </w:r>
      <w:r w:rsidR="00646A71" w:rsidRPr="001F46EC">
        <w:rPr>
          <w:rFonts w:ascii="Times New Roman" w:hAnsi="Times New Roman" w:cs="Times New Roman"/>
          <w:sz w:val="24"/>
          <w:szCs w:val="24"/>
        </w:rPr>
        <w:t xml:space="preserve">countries. </w:t>
      </w:r>
    </w:p>
    <w:p w14:paraId="23DD6F2B" w14:textId="2CF9D298" w:rsidR="004C1EAB" w:rsidRDefault="00851D26" w:rsidP="00A92E41">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Why might capitalization vs expensing affect firms’ R&amp;D expenditures? </w:t>
      </w:r>
      <w:r w:rsidR="002A02FC">
        <w:rPr>
          <w:rFonts w:ascii="Times New Roman" w:hAnsi="Times New Roman" w:cs="Times New Roman"/>
          <w:sz w:val="24"/>
          <w:szCs w:val="24"/>
        </w:rPr>
        <w:t>A</w:t>
      </w:r>
      <w:r w:rsidR="00720F9D" w:rsidRPr="00720F9D">
        <w:rPr>
          <w:rFonts w:ascii="Times New Roman" w:hAnsi="Times New Roman" w:cs="Times New Roman"/>
          <w:sz w:val="24"/>
          <w:szCs w:val="24"/>
        </w:rPr>
        <w:t xml:space="preserve">s long as a firm’s R&amp;D expenditures are growing, expensing results in greater R&amp;D expense than capitalization, so </w:t>
      </w:r>
      <w:r w:rsidR="004B274B">
        <w:rPr>
          <w:rFonts w:ascii="Times New Roman" w:hAnsi="Times New Roman" w:cs="Times New Roman"/>
          <w:sz w:val="24"/>
          <w:szCs w:val="24"/>
        </w:rPr>
        <w:t xml:space="preserve">growing firms that </w:t>
      </w:r>
      <w:r w:rsidR="00720F9D" w:rsidRPr="00720F9D">
        <w:rPr>
          <w:rFonts w:ascii="Times New Roman" w:hAnsi="Times New Roman" w:cs="Times New Roman"/>
          <w:sz w:val="24"/>
          <w:szCs w:val="24"/>
        </w:rPr>
        <w:t>expens</w:t>
      </w:r>
      <w:r w:rsidR="004B274B">
        <w:rPr>
          <w:rFonts w:ascii="Times New Roman" w:hAnsi="Times New Roman" w:cs="Times New Roman"/>
          <w:sz w:val="24"/>
          <w:szCs w:val="24"/>
        </w:rPr>
        <w:t xml:space="preserve">e their R&amp;D </w:t>
      </w:r>
      <w:r w:rsidR="00720F9D" w:rsidRPr="00720F9D">
        <w:rPr>
          <w:rFonts w:ascii="Times New Roman" w:hAnsi="Times New Roman" w:cs="Times New Roman"/>
          <w:sz w:val="24"/>
          <w:szCs w:val="24"/>
        </w:rPr>
        <w:t>m</w:t>
      </w:r>
      <w:r w:rsidR="00C22513">
        <w:rPr>
          <w:rFonts w:ascii="Times New Roman" w:hAnsi="Times New Roman" w:cs="Times New Roman"/>
          <w:sz w:val="24"/>
          <w:szCs w:val="24"/>
        </w:rPr>
        <w:t>ight</w:t>
      </w:r>
      <w:r w:rsidR="00720F9D" w:rsidRPr="00720F9D">
        <w:rPr>
          <w:rFonts w:ascii="Times New Roman" w:hAnsi="Times New Roman" w:cs="Times New Roman"/>
          <w:sz w:val="24"/>
          <w:szCs w:val="24"/>
        </w:rPr>
        <w:t xml:space="preserve"> reduce their R&amp;D expenditures to raise their net income</w:t>
      </w:r>
      <w:r w:rsidR="00350990" w:rsidRPr="00720F9D">
        <w:rPr>
          <w:rFonts w:ascii="Times New Roman" w:hAnsi="Times New Roman" w:cs="Times New Roman"/>
          <w:sz w:val="24"/>
          <w:szCs w:val="24"/>
        </w:rPr>
        <w:t>, which may adversely affect innovation in the economy</w:t>
      </w:r>
      <w:r w:rsidR="00B05AE5" w:rsidRPr="00720F9D">
        <w:rPr>
          <w:rFonts w:ascii="Times New Roman" w:hAnsi="Times New Roman" w:cs="Times New Roman"/>
          <w:sz w:val="24"/>
          <w:szCs w:val="24"/>
        </w:rPr>
        <w:t>.</w:t>
      </w:r>
      <w:r w:rsidR="00720F9D" w:rsidRPr="00720F9D">
        <w:rPr>
          <w:rFonts w:ascii="Times New Roman" w:hAnsi="Times New Roman" w:cs="Times New Roman"/>
          <w:sz w:val="24"/>
          <w:szCs w:val="24"/>
        </w:rPr>
        <w:t xml:space="preserve"> </w:t>
      </w:r>
      <w:r w:rsidR="00671FB0">
        <w:rPr>
          <w:rFonts w:ascii="Times New Roman" w:hAnsi="Times New Roman" w:cs="Times New Roman"/>
          <w:sz w:val="24"/>
          <w:szCs w:val="24"/>
        </w:rPr>
        <w:t>While investors can estimate what R&amp;D expense would be under capitalization</w:t>
      </w:r>
      <w:r w:rsidR="00BE2F41">
        <w:rPr>
          <w:rFonts w:ascii="Times New Roman" w:hAnsi="Times New Roman" w:cs="Times New Roman"/>
          <w:sz w:val="24"/>
          <w:szCs w:val="24"/>
        </w:rPr>
        <w:t xml:space="preserve"> (Lev and Sougiannis, 1996</w:t>
      </w:r>
      <w:r w:rsidR="00671FB0">
        <w:rPr>
          <w:rFonts w:ascii="Times New Roman" w:hAnsi="Times New Roman" w:cs="Times New Roman"/>
          <w:sz w:val="24"/>
          <w:szCs w:val="24"/>
        </w:rPr>
        <w:t>), the presence of contracts based on unadjusted accounting numbers (e.g., compensation)</w:t>
      </w:r>
      <w:r w:rsidR="00BE2F41">
        <w:rPr>
          <w:rFonts w:ascii="Times New Roman" w:hAnsi="Times New Roman" w:cs="Times New Roman"/>
          <w:sz w:val="24"/>
          <w:szCs w:val="24"/>
        </w:rPr>
        <w:t xml:space="preserve"> may motivate managers to focus on the actual expense.</w:t>
      </w:r>
      <w:r w:rsidR="00671FB0">
        <w:rPr>
          <w:rFonts w:ascii="Times New Roman" w:hAnsi="Times New Roman" w:cs="Times New Roman"/>
          <w:sz w:val="24"/>
          <w:szCs w:val="24"/>
        </w:rPr>
        <w:t xml:space="preserve"> </w:t>
      </w:r>
      <w:r w:rsidR="002A02FC">
        <w:rPr>
          <w:rFonts w:ascii="Times New Roman" w:hAnsi="Times New Roman" w:cs="Times New Roman"/>
          <w:sz w:val="24"/>
          <w:szCs w:val="24"/>
        </w:rPr>
        <w:t>For example, Dukes</w:t>
      </w:r>
      <w:r w:rsidR="00941BBC">
        <w:rPr>
          <w:rFonts w:ascii="Times New Roman" w:hAnsi="Times New Roman" w:cs="Times New Roman"/>
          <w:sz w:val="24"/>
          <w:szCs w:val="24"/>
        </w:rPr>
        <w:t xml:space="preserve"> et al. </w:t>
      </w:r>
      <w:r w:rsidR="002A02FC">
        <w:rPr>
          <w:rFonts w:ascii="Times New Roman" w:hAnsi="Times New Roman" w:cs="Times New Roman"/>
          <w:sz w:val="24"/>
          <w:szCs w:val="24"/>
        </w:rPr>
        <w:t xml:space="preserve"> (1980) point out that managers of R&amp;D capitalizing firms told the FASB that they would reduce R&amp;D expenditu</w:t>
      </w:r>
      <w:r w:rsidR="00325652">
        <w:rPr>
          <w:rFonts w:ascii="Times New Roman" w:hAnsi="Times New Roman" w:cs="Times New Roman"/>
          <w:sz w:val="24"/>
          <w:szCs w:val="24"/>
        </w:rPr>
        <w:t xml:space="preserve">res if </w:t>
      </w:r>
      <w:r w:rsidR="00E01C61">
        <w:rPr>
          <w:rFonts w:ascii="Times New Roman" w:hAnsi="Times New Roman" w:cs="Times New Roman"/>
          <w:sz w:val="24"/>
          <w:szCs w:val="24"/>
        </w:rPr>
        <w:t>S</w:t>
      </w:r>
      <w:r w:rsidR="00325652">
        <w:rPr>
          <w:rFonts w:ascii="Times New Roman" w:hAnsi="Times New Roman" w:cs="Times New Roman"/>
          <w:sz w:val="24"/>
          <w:szCs w:val="24"/>
        </w:rPr>
        <w:t>FAS</w:t>
      </w:r>
      <w:r w:rsidR="00E01C61">
        <w:rPr>
          <w:rFonts w:ascii="Times New Roman" w:hAnsi="Times New Roman" w:cs="Times New Roman"/>
          <w:sz w:val="24"/>
          <w:szCs w:val="24"/>
        </w:rPr>
        <w:t xml:space="preserve"> </w:t>
      </w:r>
      <w:r w:rsidR="00325652">
        <w:rPr>
          <w:rFonts w:ascii="Times New Roman" w:hAnsi="Times New Roman" w:cs="Times New Roman"/>
          <w:sz w:val="24"/>
          <w:szCs w:val="24"/>
        </w:rPr>
        <w:t xml:space="preserve">2 required expensing. Horowitz and Kolodny (1980) also found that firms believe that SFAS 2 might affect R&amp;D expenditures. </w:t>
      </w:r>
      <w:r w:rsidR="00B92D66">
        <w:rPr>
          <w:rFonts w:ascii="Times New Roman" w:hAnsi="Times New Roman" w:cs="Times New Roman"/>
          <w:sz w:val="24"/>
          <w:szCs w:val="24"/>
        </w:rPr>
        <w:t xml:space="preserve">Consistent with these views, </w:t>
      </w:r>
      <w:r w:rsidR="00720F9D" w:rsidRPr="00720F9D">
        <w:rPr>
          <w:rFonts w:ascii="Times New Roman" w:hAnsi="Times New Roman" w:cs="Times New Roman"/>
          <w:sz w:val="24"/>
          <w:szCs w:val="24"/>
        </w:rPr>
        <w:t>Stein’s (1989) model of managerial myopia assumes that managers pass up profitable investments to raise current earnings</w:t>
      </w:r>
      <w:r w:rsidR="002A02FC">
        <w:rPr>
          <w:rFonts w:ascii="Times New Roman" w:hAnsi="Times New Roman" w:cs="Times New Roman"/>
          <w:sz w:val="24"/>
          <w:szCs w:val="24"/>
        </w:rPr>
        <w:t>, and managers responding to Graham</w:t>
      </w:r>
      <w:r w:rsidR="00E01C61">
        <w:rPr>
          <w:rFonts w:ascii="Times New Roman" w:hAnsi="Times New Roman" w:cs="Times New Roman"/>
          <w:sz w:val="24"/>
          <w:szCs w:val="24"/>
        </w:rPr>
        <w:t>, Harvey, and Rajgopal</w:t>
      </w:r>
      <w:r w:rsidR="002A02FC">
        <w:rPr>
          <w:rFonts w:ascii="Times New Roman" w:hAnsi="Times New Roman" w:cs="Times New Roman"/>
          <w:sz w:val="24"/>
          <w:szCs w:val="24"/>
        </w:rPr>
        <w:t>’s (2005) survey acknowledged that they would forego positive NPV projects to boost net income.</w:t>
      </w:r>
      <w:r w:rsidR="00325652">
        <w:rPr>
          <w:rFonts w:ascii="Times New Roman" w:hAnsi="Times New Roman" w:cs="Times New Roman"/>
          <w:sz w:val="24"/>
          <w:szCs w:val="24"/>
        </w:rPr>
        <w:t xml:space="preserve"> </w:t>
      </w:r>
      <w:r w:rsidR="00BE2F41">
        <w:rPr>
          <w:rFonts w:ascii="Times New Roman" w:hAnsi="Times New Roman" w:cs="Times New Roman"/>
          <w:sz w:val="24"/>
          <w:szCs w:val="24"/>
        </w:rPr>
        <w:t xml:space="preserve">While </w:t>
      </w:r>
      <w:r w:rsidR="00CB14FD">
        <w:rPr>
          <w:rFonts w:ascii="Times New Roman" w:hAnsi="Times New Roman" w:cs="Times New Roman"/>
          <w:sz w:val="24"/>
          <w:szCs w:val="24"/>
        </w:rPr>
        <w:t>these arguments</w:t>
      </w:r>
      <w:r w:rsidR="00BE2F41">
        <w:rPr>
          <w:rFonts w:ascii="Times New Roman" w:hAnsi="Times New Roman" w:cs="Times New Roman"/>
          <w:sz w:val="24"/>
          <w:szCs w:val="24"/>
        </w:rPr>
        <w:t xml:space="preserve"> are not specific to R&amp;D</w:t>
      </w:r>
      <w:r w:rsidR="00CB14FD">
        <w:rPr>
          <w:rFonts w:ascii="Times New Roman" w:hAnsi="Times New Roman" w:cs="Times New Roman"/>
          <w:sz w:val="24"/>
          <w:szCs w:val="24"/>
        </w:rPr>
        <w:t xml:space="preserve">, </w:t>
      </w:r>
      <w:r w:rsidR="00BE2F41">
        <w:rPr>
          <w:rFonts w:ascii="Times New Roman" w:hAnsi="Times New Roman" w:cs="Times New Roman"/>
          <w:sz w:val="24"/>
          <w:szCs w:val="24"/>
        </w:rPr>
        <w:t xml:space="preserve">they imply that </w:t>
      </w:r>
      <w:r w:rsidR="00CB14FD">
        <w:rPr>
          <w:rFonts w:ascii="Times New Roman" w:hAnsi="Times New Roman" w:cs="Times New Roman"/>
          <w:sz w:val="24"/>
          <w:szCs w:val="24"/>
        </w:rPr>
        <w:t xml:space="preserve">expensing </w:t>
      </w:r>
      <w:r w:rsidR="00F90EF7">
        <w:rPr>
          <w:rFonts w:ascii="Times New Roman" w:hAnsi="Times New Roman" w:cs="Times New Roman"/>
          <w:sz w:val="24"/>
          <w:szCs w:val="24"/>
        </w:rPr>
        <w:t>may</w:t>
      </w:r>
      <w:r w:rsidR="00CB14FD">
        <w:rPr>
          <w:rFonts w:ascii="Times New Roman" w:hAnsi="Times New Roman" w:cs="Times New Roman"/>
          <w:sz w:val="24"/>
          <w:szCs w:val="24"/>
        </w:rPr>
        <w:t xml:space="preserve"> result in lower R&amp;D expenditures than capitalization.</w:t>
      </w:r>
      <w:r w:rsidR="00107A63">
        <w:rPr>
          <w:rFonts w:ascii="Times New Roman" w:hAnsi="Times New Roman" w:cs="Times New Roman"/>
          <w:sz w:val="24"/>
          <w:szCs w:val="24"/>
        </w:rPr>
        <w:t xml:space="preserve"> </w:t>
      </w:r>
    </w:p>
    <w:p w14:paraId="1E33D396" w14:textId="0710D0FD" w:rsidR="00A1283E" w:rsidRDefault="00A1283E" w:rsidP="00A92E41">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Contrary to this point of view, </w:t>
      </w:r>
      <w:r w:rsidR="000125D8">
        <w:rPr>
          <w:rFonts w:ascii="Times New Roman" w:hAnsi="Times New Roman" w:cs="Times New Roman"/>
          <w:sz w:val="24"/>
          <w:szCs w:val="24"/>
        </w:rPr>
        <w:t xml:space="preserve">even if all R&amp;D is expensed, a firm with a promising pipeline might be reluctant to cut development expenditures to raise current earnings. </w:t>
      </w:r>
      <w:r w:rsidR="007208BC">
        <w:rPr>
          <w:rFonts w:ascii="Times New Roman" w:hAnsi="Times New Roman" w:cs="Times New Roman"/>
          <w:sz w:val="24"/>
          <w:szCs w:val="24"/>
        </w:rPr>
        <w:t xml:space="preserve">This is clearly the view of U.S. regulators, who do not view expensing as an impediment to investment. </w:t>
      </w:r>
      <w:r w:rsidR="000125D8">
        <w:rPr>
          <w:rFonts w:ascii="Times New Roman" w:hAnsi="Times New Roman" w:cs="Times New Roman"/>
          <w:sz w:val="24"/>
          <w:szCs w:val="24"/>
        </w:rPr>
        <w:t>In this case, the switch to capitalization would have no effect</w:t>
      </w:r>
      <w:r w:rsidR="00FC3771">
        <w:rPr>
          <w:rFonts w:ascii="Times New Roman" w:hAnsi="Times New Roman" w:cs="Times New Roman"/>
          <w:sz w:val="24"/>
          <w:szCs w:val="24"/>
        </w:rPr>
        <w:t xml:space="preserve"> on R&amp;D expenditures</w:t>
      </w:r>
      <w:r w:rsidR="000125D8">
        <w:rPr>
          <w:rFonts w:ascii="Times New Roman" w:hAnsi="Times New Roman" w:cs="Times New Roman"/>
          <w:sz w:val="24"/>
          <w:szCs w:val="24"/>
        </w:rPr>
        <w:t xml:space="preserve">. </w:t>
      </w:r>
      <w:r w:rsidR="00E41748">
        <w:rPr>
          <w:rFonts w:ascii="Times New Roman" w:hAnsi="Times New Roman" w:cs="Times New Roman"/>
          <w:sz w:val="24"/>
          <w:szCs w:val="24"/>
        </w:rPr>
        <w:t>In the real world, however, many frictions, such as information asymmetry</w:t>
      </w:r>
      <w:r w:rsidR="007123CC">
        <w:rPr>
          <w:rFonts w:ascii="Times New Roman" w:hAnsi="Times New Roman" w:cs="Times New Roman"/>
          <w:sz w:val="24"/>
          <w:szCs w:val="24"/>
        </w:rPr>
        <w:t xml:space="preserve"> and imperfect alignment of manager’s and long-term shareholders’ incentives</w:t>
      </w:r>
      <w:r w:rsidR="00E41748">
        <w:rPr>
          <w:rFonts w:ascii="Times New Roman" w:hAnsi="Times New Roman" w:cs="Times New Roman"/>
          <w:sz w:val="24"/>
          <w:szCs w:val="24"/>
        </w:rPr>
        <w:t xml:space="preserve">, </w:t>
      </w:r>
      <w:r w:rsidR="000A2D83">
        <w:rPr>
          <w:rFonts w:ascii="Times New Roman" w:hAnsi="Times New Roman" w:cs="Times New Roman"/>
          <w:sz w:val="24"/>
          <w:szCs w:val="24"/>
        </w:rPr>
        <w:t xml:space="preserve">may </w:t>
      </w:r>
      <w:r w:rsidR="0000692E">
        <w:rPr>
          <w:rFonts w:ascii="Times New Roman" w:hAnsi="Times New Roman" w:cs="Times New Roman"/>
          <w:sz w:val="24"/>
          <w:szCs w:val="24"/>
        </w:rPr>
        <w:t>lead firms to forego some</w:t>
      </w:r>
      <w:r w:rsidR="00E41748">
        <w:rPr>
          <w:rFonts w:ascii="Times New Roman" w:hAnsi="Times New Roman" w:cs="Times New Roman"/>
          <w:sz w:val="24"/>
          <w:szCs w:val="24"/>
        </w:rPr>
        <w:t xml:space="preserve"> positive NPV projects (</w:t>
      </w:r>
      <w:r w:rsidR="00CE59D6">
        <w:rPr>
          <w:rFonts w:ascii="Times New Roman" w:hAnsi="Times New Roman" w:cs="Times New Roman"/>
          <w:sz w:val="24"/>
          <w:szCs w:val="24"/>
        </w:rPr>
        <w:t>Stein, 2003)</w:t>
      </w:r>
      <w:r w:rsidR="00E41748">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Thus, whether </w:t>
      </w:r>
      <w:r w:rsidR="00672647">
        <w:rPr>
          <w:rFonts w:ascii="Times New Roman" w:hAnsi="Times New Roman" w:cs="Times New Roman"/>
          <w:sz w:val="24"/>
          <w:szCs w:val="24"/>
        </w:rPr>
        <w:t xml:space="preserve">and how </w:t>
      </w:r>
      <w:r>
        <w:rPr>
          <w:rFonts w:ascii="Times New Roman" w:hAnsi="Times New Roman" w:cs="Times New Roman"/>
          <w:sz w:val="24"/>
          <w:szCs w:val="24"/>
        </w:rPr>
        <w:t>capitalization or expensing affects the amount of firms’ R&amp;D expenditures is an important, unanswered question that we address.</w:t>
      </w:r>
      <w:r w:rsidR="007123CC" w:rsidRPr="007123CC">
        <w:rPr>
          <w:rFonts w:ascii="Times New Roman" w:hAnsi="Times New Roman" w:cs="Times New Roman"/>
          <w:sz w:val="24"/>
          <w:szCs w:val="24"/>
        </w:rPr>
        <w:t xml:space="preserve"> </w:t>
      </w:r>
    </w:p>
    <w:p w14:paraId="6C6E099C" w14:textId="2B2E1D21" w:rsidR="00F16040" w:rsidRPr="00D96FF3" w:rsidRDefault="00F23F4D" w:rsidP="00A92E41">
      <w:pPr>
        <w:pStyle w:val="CommentText"/>
        <w:spacing w:after="0" w:line="480" w:lineRule="auto"/>
        <w:ind w:firstLine="567"/>
        <w:jc w:val="both"/>
        <w:rPr>
          <w:rFonts w:ascii="Times New Roman" w:hAnsi="Times New Roman" w:cs="Times New Roman"/>
          <w:sz w:val="24"/>
          <w:szCs w:val="24"/>
        </w:rPr>
      </w:pPr>
      <w:r w:rsidRPr="00D96FF3">
        <w:rPr>
          <w:rFonts w:ascii="Times New Roman" w:hAnsi="Times New Roman" w:cs="Times New Roman"/>
          <w:sz w:val="24"/>
          <w:szCs w:val="24"/>
        </w:rPr>
        <w:t>As a first step, we</w:t>
      </w:r>
      <w:r w:rsidR="00ED48B9" w:rsidRPr="00D96FF3">
        <w:rPr>
          <w:rFonts w:ascii="Times New Roman" w:hAnsi="Times New Roman" w:cs="Times New Roman"/>
          <w:sz w:val="24"/>
          <w:szCs w:val="24"/>
        </w:rPr>
        <w:t xml:space="preserve"> investigate firms’ choices to capitalize vs expense under UK GAAP. </w:t>
      </w:r>
      <w:r w:rsidR="00347FEB" w:rsidRPr="00D96FF3">
        <w:rPr>
          <w:rFonts w:ascii="Times New Roman" w:hAnsi="Times New Roman" w:cs="Times New Roman"/>
          <w:sz w:val="24"/>
          <w:szCs w:val="24"/>
        </w:rPr>
        <w:t>Our Logit analysis shows</w:t>
      </w:r>
      <w:r w:rsidR="006E0CAD" w:rsidRPr="00D96FF3">
        <w:rPr>
          <w:rFonts w:ascii="Times New Roman" w:hAnsi="Times New Roman" w:cs="Times New Roman"/>
          <w:sz w:val="24"/>
          <w:szCs w:val="24"/>
        </w:rPr>
        <w:t xml:space="preserve"> that smaller, </w:t>
      </w:r>
      <w:r w:rsidR="00591C6F" w:rsidRPr="00D96FF3">
        <w:rPr>
          <w:rFonts w:ascii="Times New Roman" w:hAnsi="Times New Roman" w:cs="Times New Roman"/>
          <w:sz w:val="24"/>
          <w:szCs w:val="24"/>
        </w:rPr>
        <w:t>younger</w:t>
      </w:r>
      <w:r w:rsidR="004618DB" w:rsidRPr="00D96FF3">
        <w:rPr>
          <w:rFonts w:ascii="Times New Roman" w:hAnsi="Times New Roman" w:cs="Times New Roman"/>
          <w:sz w:val="24"/>
          <w:szCs w:val="24"/>
        </w:rPr>
        <w:t xml:space="preserve">, </w:t>
      </w:r>
      <w:r w:rsidR="006E0CAD" w:rsidRPr="00D96FF3">
        <w:rPr>
          <w:rFonts w:ascii="Times New Roman" w:hAnsi="Times New Roman" w:cs="Times New Roman"/>
          <w:sz w:val="24"/>
          <w:szCs w:val="24"/>
        </w:rPr>
        <w:t>more highly leveraged firms</w:t>
      </w:r>
      <w:r w:rsidR="006A2A43" w:rsidRPr="00D96FF3">
        <w:rPr>
          <w:rFonts w:ascii="Times New Roman" w:hAnsi="Times New Roman" w:cs="Times New Roman"/>
          <w:sz w:val="24"/>
          <w:szCs w:val="24"/>
        </w:rPr>
        <w:t xml:space="preserve">, </w:t>
      </w:r>
      <w:r w:rsidR="00D528A2" w:rsidRPr="00D96FF3">
        <w:rPr>
          <w:rFonts w:ascii="Times New Roman" w:hAnsi="Times New Roman" w:cs="Times New Roman"/>
          <w:sz w:val="24"/>
          <w:szCs w:val="24"/>
        </w:rPr>
        <w:t>firms that capitalize a greater portion of their development expenditures</w:t>
      </w:r>
      <w:r w:rsidR="001F052F">
        <w:rPr>
          <w:rFonts w:ascii="Times New Roman" w:hAnsi="Times New Roman" w:cs="Times New Roman"/>
          <w:sz w:val="24"/>
          <w:szCs w:val="24"/>
        </w:rPr>
        <w:t xml:space="preserve"> (as reported for capitalizers, and based on pro-forma disclosures for expensers in the first year of IFRS)</w:t>
      </w:r>
      <w:r w:rsidR="00D528A2" w:rsidRPr="00D96FF3">
        <w:rPr>
          <w:rFonts w:ascii="Times New Roman" w:hAnsi="Times New Roman" w:cs="Times New Roman"/>
          <w:sz w:val="24"/>
          <w:szCs w:val="24"/>
        </w:rPr>
        <w:t xml:space="preserve">, </w:t>
      </w:r>
      <w:r w:rsidR="006A2A43" w:rsidRPr="00D96FF3">
        <w:rPr>
          <w:rFonts w:ascii="Times New Roman" w:hAnsi="Times New Roman" w:cs="Times New Roman"/>
          <w:sz w:val="24"/>
          <w:szCs w:val="24"/>
        </w:rPr>
        <w:t>and those firms not in steady-state with respect to their R&amp;D programs</w:t>
      </w:r>
      <w:r w:rsidR="006E0CAD" w:rsidRPr="00D96FF3">
        <w:rPr>
          <w:rFonts w:ascii="Times New Roman" w:hAnsi="Times New Roman" w:cs="Times New Roman"/>
          <w:sz w:val="24"/>
          <w:szCs w:val="24"/>
        </w:rPr>
        <w:t xml:space="preserve"> – </w:t>
      </w:r>
      <w:r w:rsidR="00D528A2" w:rsidRPr="00D96FF3">
        <w:rPr>
          <w:rFonts w:ascii="Times New Roman" w:hAnsi="Times New Roman" w:cs="Times New Roman"/>
          <w:sz w:val="24"/>
          <w:szCs w:val="24"/>
        </w:rPr>
        <w:t xml:space="preserve">i.e., </w:t>
      </w:r>
      <w:r w:rsidR="006E0CAD" w:rsidRPr="00D96FF3">
        <w:rPr>
          <w:rFonts w:ascii="Times New Roman" w:hAnsi="Times New Roman" w:cs="Times New Roman"/>
          <w:sz w:val="24"/>
          <w:szCs w:val="24"/>
        </w:rPr>
        <w:t>those benefitting most from capitalization</w:t>
      </w:r>
      <w:r w:rsidR="00F16040" w:rsidRPr="00D96FF3">
        <w:rPr>
          <w:rFonts w:ascii="Times New Roman" w:hAnsi="Times New Roman" w:cs="Times New Roman"/>
          <w:sz w:val="24"/>
          <w:szCs w:val="24"/>
        </w:rPr>
        <w:t>’s expense deferral</w:t>
      </w:r>
      <w:r w:rsidR="006E0CAD" w:rsidRPr="00D96FF3">
        <w:rPr>
          <w:rFonts w:ascii="Times New Roman" w:hAnsi="Times New Roman" w:cs="Times New Roman"/>
          <w:sz w:val="24"/>
          <w:szCs w:val="24"/>
        </w:rPr>
        <w:t xml:space="preserve"> - were most likely to capitalize. </w:t>
      </w:r>
      <w:r w:rsidR="00F16040" w:rsidRPr="00D96FF3">
        <w:rPr>
          <w:rFonts w:ascii="Times New Roman" w:hAnsi="Times New Roman" w:cs="Times New Roman"/>
          <w:sz w:val="24"/>
          <w:szCs w:val="24"/>
        </w:rPr>
        <w:t>By contrast, firms that chose to expense R&amp;D under UK GAAP were larger</w:t>
      </w:r>
      <w:r w:rsidR="003D3C08">
        <w:rPr>
          <w:rFonts w:ascii="Times New Roman" w:hAnsi="Times New Roman" w:cs="Times New Roman"/>
          <w:sz w:val="24"/>
          <w:szCs w:val="24"/>
        </w:rPr>
        <w:t xml:space="preserve"> </w:t>
      </w:r>
      <w:r w:rsidR="00F16040" w:rsidRPr="00D96FF3">
        <w:rPr>
          <w:rFonts w:ascii="Times New Roman" w:hAnsi="Times New Roman" w:cs="Times New Roman"/>
          <w:sz w:val="24"/>
          <w:szCs w:val="24"/>
        </w:rPr>
        <w:t>and may hav</w:t>
      </w:r>
      <w:r w:rsidR="009B33FA" w:rsidRPr="00D96FF3">
        <w:rPr>
          <w:rFonts w:ascii="Times New Roman" w:hAnsi="Times New Roman" w:cs="Times New Roman"/>
          <w:sz w:val="24"/>
          <w:szCs w:val="24"/>
        </w:rPr>
        <w:t>e wanted to signal</w:t>
      </w:r>
      <w:r w:rsidR="00F16040" w:rsidRPr="00D96FF3">
        <w:rPr>
          <w:rFonts w:ascii="Times New Roman" w:hAnsi="Times New Roman" w:cs="Times New Roman"/>
          <w:sz w:val="24"/>
          <w:szCs w:val="24"/>
        </w:rPr>
        <w:t xml:space="preserve"> their financ</w:t>
      </w:r>
      <w:r w:rsidR="00F16040" w:rsidRPr="00010004">
        <w:rPr>
          <w:rFonts w:ascii="Times New Roman" w:hAnsi="Times New Roman" w:cs="Times New Roman"/>
          <w:sz w:val="24"/>
          <w:szCs w:val="24"/>
        </w:rPr>
        <w:t>ial strength</w:t>
      </w:r>
      <w:r w:rsidR="003D3C08">
        <w:rPr>
          <w:rFonts w:ascii="Times New Roman" w:hAnsi="Times New Roman" w:cs="Times New Roman"/>
          <w:sz w:val="24"/>
          <w:szCs w:val="24"/>
        </w:rPr>
        <w:t xml:space="preserve"> by being willing to expense all of the R&amp;D expenditures</w:t>
      </w:r>
      <w:r w:rsidR="00F16040" w:rsidRPr="00D96FF3">
        <w:rPr>
          <w:rFonts w:ascii="Times New Roman" w:hAnsi="Times New Roman" w:cs="Times New Roman"/>
          <w:sz w:val="24"/>
          <w:szCs w:val="24"/>
        </w:rPr>
        <w:t xml:space="preserve">. </w:t>
      </w:r>
      <w:r w:rsidR="00D96FF3">
        <w:rPr>
          <w:rFonts w:ascii="Times New Roman" w:hAnsi="Times New Roman" w:cs="Times New Roman"/>
          <w:sz w:val="24"/>
          <w:szCs w:val="24"/>
        </w:rPr>
        <w:t>O</w:t>
      </w:r>
      <w:r w:rsidR="00D96FF3" w:rsidRPr="00D96FF3">
        <w:rPr>
          <w:rFonts w:ascii="Times New Roman" w:hAnsi="Times New Roman" w:cs="Times New Roman"/>
          <w:sz w:val="24"/>
          <w:szCs w:val="24"/>
        </w:rPr>
        <w:t xml:space="preserve">ur analyses </w:t>
      </w:r>
      <w:r w:rsidR="00D96FF3">
        <w:rPr>
          <w:rFonts w:ascii="Times New Roman" w:hAnsi="Times New Roman" w:cs="Times New Roman"/>
          <w:sz w:val="24"/>
          <w:szCs w:val="24"/>
        </w:rPr>
        <w:t xml:space="preserve">suggest </w:t>
      </w:r>
      <w:r w:rsidR="00D96FF3" w:rsidRPr="00D96FF3">
        <w:rPr>
          <w:rFonts w:ascii="Times New Roman" w:hAnsi="Times New Roman" w:cs="Times New Roman"/>
          <w:sz w:val="24"/>
          <w:szCs w:val="24"/>
        </w:rPr>
        <w:t>that firms’ choice to capitalize or expense R&amp;D depends on how they evaluate the tradeoff between capitalization’s benefit of</w:t>
      </w:r>
      <w:r w:rsidR="003D3C08">
        <w:rPr>
          <w:rFonts w:ascii="Times New Roman" w:hAnsi="Times New Roman" w:cs="Times New Roman"/>
          <w:sz w:val="24"/>
          <w:szCs w:val="24"/>
        </w:rPr>
        <w:t xml:space="preserve"> the expense deferral</w:t>
      </w:r>
      <w:r w:rsidR="00D96FF3" w:rsidRPr="00D96FF3">
        <w:rPr>
          <w:rFonts w:ascii="Times New Roman" w:hAnsi="Times New Roman" w:cs="Times New Roman"/>
          <w:sz w:val="24"/>
          <w:szCs w:val="24"/>
        </w:rPr>
        <w:t xml:space="preserve"> vs its costs of</w:t>
      </w:r>
      <w:r w:rsidR="00C3019E">
        <w:rPr>
          <w:rFonts w:ascii="Times New Roman" w:hAnsi="Times New Roman" w:cs="Times New Roman"/>
          <w:sz w:val="24"/>
          <w:szCs w:val="24"/>
        </w:rPr>
        <w:t xml:space="preserve"> potential write-offs</w:t>
      </w:r>
      <w:r w:rsidR="00D96FF3">
        <w:rPr>
          <w:rFonts w:ascii="Times New Roman" w:hAnsi="Times New Roman" w:cs="Times New Roman"/>
          <w:sz w:val="24"/>
          <w:szCs w:val="24"/>
        </w:rPr>
        <w:t xml:space="preserve"> </w:t>
      </w:r>
      <w:r w:rsidR="00D96FF3" w:rsidRPr="00D96FF3">
        <w:rPr>
          <w:rFonts w:ascii="Times New Roman" w:hAnsi="Times New Roman" w:cs="Times New Roman"/>
          <w:sz w:val="24"/>
          <w:szCs w:val="24"/>
        </w:rPr>
        <w:t>and the negative signal about financial strength</w:t>
      </w:r>
      <w:r w:rsidR="001E0497">
        <w:rPr>
          <w:rFonts w:ascii="Times New Roman" w:hAnsi="Times New Roman" w:cs="Times New Roman"/>
          <w:sz w:val="24"/>
          <w:szCs w:val="24"/>
        </w:rPr>
        <w:t>.</w:t>
      </w:r>
      <w:r w:rsidR="00E41748">
        <w:rPr>
          <w:rFonts w:ascii="Times New Roman" w:hAnsi="Times New Roman" w:cs="Times New Roman"/>
          <w:sz w:val="24"/>
          <w:szCs w:val="24"/>
        </w:rPr>
        <w:t xml:space="preserve">  </w:t>
      </w:r>
    </w:p>
    <w:p w14:paraId="0CFD15AC" w14:textId="3552EA52" w:rsidR="00AA24E7" w:rsidRDefault="006E0CAD" w:rsidP="00A92E41">
      <w:pPr>
        <w:spacing w:after="0" w:line="480" w:lineRule="auto"/>
        <w:ind w:firstLine="567"/>
        <w:jc w:val="both"/>
        <w:rPr>
          <w:rFonts w:ascii="Times New Roman" w:hAnsi="Times New Roman" w:cs="Times New Roman"/>
          <w:sz w:val="24"/>
          <w:szCs w:val="24"/>
        </w:rPr>
      </w:pPr>
      <w:r w:rsidRPr="00D96FF3">
        <w:rPr>
          <w:rFonts w:ascii="Times New Roman" w:hAnsi="Times New Roman" w:cs="Times New Roman"/>
          <w:sz w:val="24"/>
          <w:szCs w:val="24"/>
        </w:rPr>
        <w:t>Next</w:t>
      </w:r>
      <w:r>
        <w:rPr>
          <w:rFonts w:ascii="Times New Roman" w:hAnsi="Times New Roman" w:cs="Times New Roman"/>
          <w:sz w:val="24"/>
          <w:szCs w:val="24"/>
        </w:rPr>
        <w:t>, we compare the two groups</w:t>
      </w:r>
      <w:r w:rsidR="0083264F">
        <w:rPr>
          <w:rFonts w:ascii="Times New Roman" w:hAnsi="Times New Roman" w:cs="Times New Roman"/>
          <w:sz w:val="24"/>
          <w:szCs w:val="24"/>
        </w:rPr>
        <w:t>’</w:t>
      </w:r>
      <w:r>
        <w:rPr>
          <w:rFonts w:ascii="Times New Roman" w:hAnsi="Times New Roman" w:cs="Times New Roman"/>
          <w:sz w:val="24"/>
          <w:szCs w:val="24"/>
        </w:rPr>
        <w:t xml:space="preserve"> </w:t>
      </w:r>
      <w:r w:rsidR="00F23F4D">
        <w:rPr>
          <w:rFonts w:ascii="Times New Roman" w:hAnsi="Times New Roman" w:cs="Times New Roman"/>
          <w:sz w:val="24"/>
          <w:szCs w:val="24"/>
        </w:rPr>
        <w:t xml:space="preserve">R&amp;D expenditures </w:t>
      </w:r>
      <w:r>
        <w:rPr>
          <w:rFonts w:ascii="Times New Roman" w:hAnsi="Times New Roman" w:cs="Times New Roman"/>
          <w:sz w:val="24"/>
          <w:szCs w:val="24"/>
        </w:rPr>
        <w:t>before vs after the switch</w:t>
      </w:r>
      <w:r w:rsidR="007C0C85">
        <w:rPr>
          <w:rFonts w:ascii="Times New Roman" w:hAnsi="Times New Roman" w:cs="Times New Roman"/>
          <w:sz w:val="24"/>
          <w:szCs w:val="24"/>
        </w:rPr>
        <w:t>.</w:t>
      </w:r>
      <w:r>
        <w:rPr>
          <w:rFonts w:ascii="Times New Roman" w:hAnsi="Times New Roman" w:cs="Times New Roman"/>
          <w:sz w:val="24"/>
          <w:szCs w:val="24"/>
        </w:rPr>
        <w:t xml:space="preserve"> </w:t>
      </w:r>
      <w:r w:rsidR="004F686B">
        <w:rPr>
          <w:rFonts w:ascii="Times New Roman" w:hAnsi="Times New Roman" w:cs="Times New Roman"/>
          <w:sz w:val="24"/>
          <w:szCs w:val="24"/>
        </w:rPr>
        <w:t>Since our   Logit analysis showed that capitalizers and expensers had d</w:t>
      </w:r>
      <w:r w:rsidR="001D7FF3">
        <w:rPr>
          <w:rFonts w:ascii="Times New Roman" w:hAnsi="Times New Roman" w:cs="Times New Roman"/>
          <w:sz w:val="24"/>
          <w:szCs w:val="24"/>
        </w:rPr>
        <w:t xml:space="preserve">ifferent characteristics, we conduct our analysis on </w:t>
      </w:r>
      <w:r w:rsidR="00941BBC">
        <w:rPr>
          <w:rFonts w:ascii="Times New Roman" w:hAnsi="Times New Roman" w:cs="Times New Roman"/>
          <w:sz w:val="24"/>
          <w:szCs w:val="24"/>
        </w:rPr>
        <w:t>e</w:t>
      </w:r>
      <w:r w:rsidR="001D7FF3">
        <w:rPr>
          <w:rFonts w:ascii="Times New Roman" w:hAnsi="Times New Roman" w:cs="Times New Roman"/>
          <w:sz w:val="24"/>
          <w:szCs w:val="24"/>
        </w:rPr>
        <w:t>ntropy balanced (Hainmueller, 2012) samples of capitalizers and switchers.</w:t>
      </w:r>
      <w:r w:rsidR="00B157C6">
        <w:rPr>
          <w:rStyle w:val="FootnoteReference"/>
          <w:rFonts w:ascii="Times New Roman" w:hAnsi="Times New Roman" w:cs="Times New Roman"/>
          <w:sz w:val="24"/>
          <w:szCs w:val="24"/>
        </w:rPr>
        <w:footnoteReference w:id="3"/>
      </w:r>
      <w:r w:rsidR="00B157C6">
        <w:t xml:space="preserve"> </w:t>
      </w:r>
      <w:r w:rsidR="001D7FF3">
        <w:rPr>
          <w:rFonts w:ascii="Times New Roman" w:hAnsi="Times New Roman" w:cs="Times New Roman"/>
          <w:sz w:val="24"/>
          <w:szCs w:val="24"/>
        </w:rPr>
        <w:t xml:space="preserve"> We </w:t>
      </w:r>
      <w:r w:rsidR="001F7FD9">
        <w:rPr>
          <w:rFonts w:ascii="Times New Roman" w:hAnsi="Times New Roman" w:cs="Times New Roman"/>
          <w:sz w:val="24"/>
          <w:szCs w:val="24"/>
        </w:rPr>
        <w:t xml:space="preserve">provide evidence that </w:t>
      </w:r>
      <w:r w:rsidR="001D7FF3">
        <w:rPr>
          <w:rFonts w:ascii="Times New Roman" w:hAnsi="Times New Roman" w:cs="Times New Roman"/>
          <w:sz w:val="24"/>
          <w:szCs w:val="24"/>
        </w:rPr>
        <w:t xml:space="preserve"> the parallel trends assumption </w:t>
      </w:r>
      <w:r w:rsidR="00391A76">
        <w:rPr>
          <w:rFonts w:ascii="Times New Roman" w:hAnsi="Times New Roman" w:cs="Times New Roman"/>
          <w:sz w:val="24"/>
          <w:szCs w:val="24"/>
        </w:rPr>
        <w:t xml:space="preserve">is not violated, </w:t>
      </w:r>
      <w:r w:rsidR="001D7FF3">
        <w:rPr>
          <w:rFonts w:ascii="Times New Roman" w:hAnsi="Times New Roman" w:cs="Times New Roman"/>
          <w:sz w:val="24"/>
          <w:szCs w:val="24"/>
        </w:rPr>
        <w:t>by showing that both groups had similar pre-treatment R&amp;D expenditure growth.</w:t>
      </w:r>
      <w:r w:rsidR="004F686B">
        <w:rPr>
          <w:rFonts w:ascii="Times New Roman" w:hAnsi="Times New Roman" w:cs="Times New Roman"/>
          <w:sz w:val="24"/>
          <w:szCs w:val="24"/>
        </w:rPr>
        <w:t xml:space="preserve"> </w:t>
      </w:r>
      <w:r w:rsidR="001D7FF3">
        <w:rPr>
          <w:rFonts w:ascii="Times New Roman" w:hAnsi="Times New Roman" w:cs="Times New Roman"/>
          <w:sz w:val="24"/>
          <w:szCs w:val="24"/>
        </w:rPr>
        <w:t xml:space="preserve">In the switch year, however, we </w:t>
      </w:r>
      <w:r w:rsidR="00C70C91">
        <w:rPr>
          <w:rFonts w:ascii="Times New Roman" w:hAnsi="Times New Roman" w:cs="Times New Roman"/>
          <w:sz w:val="24"/>
          <w:szCs w:val="24"/>
        </w:rPr>
        <w:t xml:space="preserve">find that switching firms increased their </w:t>
      </w:r>
      <w:r w:rsidR="001E0497">
        <w:rPr>
          <w:rFonts w:ascii="Times New Roman" w:hAnsi="Times New Roman" w:cs="Times New Roman"/>
          <w:sz w:val="24"/>
          <w:szCs w:val="24"/>
        </w:rPr>
        <w:t xml:space="preserve">growth rate of </w:t>
      </w:r>
      <w:r w:rsidR="00C70C91">
        <w:rPr>
          <w:rFonts w:ascii="Times New Roman" w:hAnsi="Times New Roman" w:cs="Times New Roman"/>
          <w:sz w:val="24"/>
          <w:szCs w:val="24"/>
        </w:rPr>
        <w:t>R&amp;D expenditures more than firms that continued to capitalize</w:t>
      </w:r>
      <w:r w:rsidR="001D7FF3">
        <w:rPr>
          <w:rFonts w:ascii="Times New Roman" w:hAnsi="Times New Roman" w:cs="Times New Roman"/>
          <w:sz w:val="24"/>
          <w:szCs w:val="24"/>
        </w:rPr>
        <w:t xml:space="preserve">, attesting to the effect of the switch. </w:t>
      </w:r>
      <w:r w:rsidR="00F90EF7">
        <w:rPr>
          <w:rFonts w:ascii="Times New Roman" w:hAnsi="Times New Roman" w:cs="Times New Roman"/>
          <w:sz w:val="24"/>
          <w:szCs w:val="24"/>
        </w:rPr>
        <w:t>W</w:t>
      </w:r>
      <w:r w:rsidR="0083264F">
        <w:rPr>
          <w:rFonts w:ascii="Times New Roman" w:hAnsi="Times New Roman" w:cs="Times New Roman"/>
          <w:sz w:val="24"/>
          <w:szCs w:val="24"/>
        </w:rPr>
        <w:t xml:space="preserve">e </w:t>
      </w:r>
      <w:r w:rsidR="00F90EF7">
        <w:rPr>
          <w:rFonts w:ascii="Times New Roman" w:hAnsi="Times New Roman" w:cs="Times New Roman"/>
          <w:sz w:val="24"/>
          <w:szCs w:val="24"/>
        </w:rPr>
        <w:t xml:space="preserve">also </w:t>
      </w:r>
      <w:r w:rsidR="0083264F">
        <w:rPr>
          <w:rFonts w:ascii="Times New Roman" w:hAnsi="Times New Roman" w:cs="Times New Roman"/>
          <w:sz w:val="24"/>
          <w:szCs w:val="24"/>
        </w:rPr>
        <w:t>conduct a number of</w:t>
      </w:r>
      <w:r w:rsidR="00AA24E7">
        <w:rPr>
          <w:rFonts w:ascii="Times New Roman" w:hAnsi="Times New Roman" w:cs="Times New Roman"/>
          <w:sz w:val="24"/>
          <w:szCs w:val="24"/>
        </w:rPr>
        <w:t xml:space="preserve"> supplemental tests</w:t>
      </w:r>
      <w:r w:rsidR="0083264F">
        <w:rPr>
          <w:rFonts w:ascii="Times New Roman" w:hAnsi="Times New Roman" w:cs="Times New Roman"/>
          <w:sz w:val="24"/>
          <w:szCs w:val="24"/>
        </w:rPr>
        <w:t xml:space="preserve">. </w:t>
      </w:r>
      <w:r w:rsidR="009E0245">
        <w:rPr>
          <w:rFonts w:ascii="Times New Roman" w:hAnsi="Times New Roman" w:cs="Times New Roman"/>
          <w:sz w:val="24"/>
          <w:szCs w:val="24"/>
        </w:rPr>
        <w:t xml:space="preserve">First, we find that switchers increased their R&amp;D expenditure growth more than firms that continued to expense. Second, some firms were allowed to defer the switch to capitalization; we find that in the period when only the “early” switchers had switched, they increased their R&amp;D expenditures more than “late” switchers. </w:t>
      </w:r>
      <w:r w:rsidR="00DE24DE">
        <w:rPr>
          <w:rFonts w:ascii="Times New Roman" w:hAnsi="Times New Roman" w:cs="Times New Roman"/>
          <w:sz w:val="24"/>
          <w:szCs w:val="24"/>
        </w:rPr>
        <w:t>Third, w</w:t>
      </w:r>
      <w:r w:rsidR="001C7AA4">
        <w:rPr>
          <w:rFonts w:ascii="Times New Roman" w:hAnsi="Times New Roman" w:cs="Times New Roman"/>
          <w:sz w:val="24"/>
          <w:szCs w:val="24"/>
        </w:rPr>
        <w:t xml:space="preserve">e find that </w:t>
      </w:r>
      <w:r w:rsidR="003D3C08">
        <w:rPr>
          <w:rFonts w:ascii="Times New Roman" w:hAnsi="Times New Roman" w:cs="Times New Roman"/>
          <w:sz w:val="24"/>
          <w:szCs w:val="24"/>
        </w:rPr>
        <w:t xml:space="preserve">high growth </w:t>
      </w:r>
      <w:r w:rsidR="00315302">
        <w:rPr>
          <w:rFonts w:ascii="Times New Roman" w:hAnsi="Times New Roman" w:cs="Times New Roman"/>
          <w:sz w:val="24"/>
          <w:szCs w:val="24"/>
        </w:rPr>
        <w:t xml:space="preserve">switchers </w:t>
      </w:r>
      <w:r w:rsidR="00A46FE2">
        <w:rPr>
          <w:rFonts w:ascii="Times New Roman" w:hAnsi="Times New Roman" w:cs="Times New Roman"/>
          <w:sz w:val="24"/>
          <w:szCs w:val="24"/>
        </w:rPr>
        <w:t>(proxied by the market-to-book ratio</w:t>
      </w:r>
      <w:r w:rsidR="00844F64">
        <w:rPr>
          <w:rFonts w:ascii="Times New Roman" w:hAnsi="Times New Roman" w:cs="Times New Roman"/>
          <w:sz w:val="24"/>
          <w:szCs w:val="24"/>
        </w:rPr>
        <w:t xml:space="preserve"> in</w:t>
      </w:r>
      <w:r w:rsidR="00A46FE2">
        <w:rPr>
          <w:rFonts w:ascii="Times New Roman" w:hAnsi="Times New Roman" w:cs="Times New Roman"/>
          <w:sz w:val="24"/>
          <w:szCs w:val="24"/>
        </w:rPr>
        <w:t xml:space="preserve"> the </w:t>
      </w:r>
      <w:r w:rsidR="00844F64">
        <w:rPr>
          <w:rFonts w:ascii="Times New Roman" w:hAnsi="Times New Roman" w:cs="Times New Roman"/>
          <w:sz w:val="24"/>
          <w:szCs w:val="24"/>
        </w:rPr>
        <w:t xml:space="preserve">last year of </w:t>
      </w:r>
      <w:r w:rsidR="00A46FE2">
        <w:rPr>
          <w:rFonts w:ascii="Times New Roman" w:hAnsi="Times New Roman" w:cs="Times New Roman"/>
          <w:sz w:val="24"/>
          <w:szCs w:val="24"/>
        </w:rPr>
        <w:t xml:space="preserve">UK GAAP) </w:t>
      </w:r>
      <w:r w:rsidR="001C7AA4">
        <w:rPr>
          <w:rFonts w:ascii="Times New Roman" w:hAnsi="Times New Roman" w:cs="Times New Roman"/>
          <w:sz w:val="24"/>
          <w:szCs w:val="24"/>
        </w:rPr>
        <w:t>increased their R&amp;D expenditures more than</w:t>
      </w:r>
      <w:r w:rsidR="003C79D5">
        <w:rPr>
          <w:rFonts w:ascii="Times New Roman" w:hAnsi="Times New Roman" w:cs="Times New Roman"/>
          <w:sz w:val="24"/>
          <w:szCs w:val="24"/>
        </w:rPr>
        <w:t xml:space="preserve"> </w:t>
      </w:r>
      <w:r w:rsidR="00A46FE2">
        <w:rPr>
          <w:rFonts w:ascii="Times New Roman" w:hAnsi="Times New Roman" w:cs="Times New Roman"/>
          <w:sz w:val="24"/>
          <w:szCs w:val="24"/>
        </w:rPr>
        <w:t xml:space="preserve">low growth </w:t>
      </w:r>
      <w:r w:rsidR="001C7AA4">
        <w:rPr>
          <w:rFonts w:ascii="Times New Roman" w:hAnsi="Times New Roman" w:cs="Times New Roman"/>
          <w:sz w:val="24"/>
          <w:szCs w:val="24"/>
        </w:rPr>
        <w:t xml:space="preserve">switchers, </w:t>
      </w:r>
      <w:r w:rsidR="00A46FE2">
        <w:rPr>
          <w:rFonts w:ascii="Times New Roman" w:hAnsi="Times New Roman" w:cs="Times New Roman"/>
          <w:sz w:val="24"/>
          <w:szCs w:val="24"/>
        </w:rPr>
        <w:t xml:space="preserve">consistent with the </w:t>
      </w:r>
      <w:r w:rsidR="00EE4063">
        <w:rPr>
          <w:rFonts w:ascii="Times New Roman" w:hAnsi="Times New Roman" w:cs="Times New Roman"/>
          <w:sz w:val="24"/>
          <w:szCs w:val="24"/>
        </w:rPr>
        <w:t xml:space="preserve">greater </w:t>
      </w:r>
      <w:r w:rsidR="00A46FE2">
        <w:rPr>
          <w:rFonts w:ascii="Times New Roman" w:hAnsi="Times New Roman" w:cs="Times New Roman"/>
          <w:sz w:val="24"/>
          <w:szCs w:val="24"/>
        </w:rPr>
        <w:t xml:space="preserve">importance of </w:t>
      </w:r>
      <w:r w:rsidR="00EE4063">
        <w:rPr>
          <w:rFonts w:ascii="Times New Roman" w:hAnsi="Times New Roman" w:cs="Times New Roman"/>
          <w:sz w:val="24"/>
          <w:szCs w:val="24"/>
        </w:rPr>
        <w:t xml:space="preserve">the </w:t>
      </w:r>
      <w:r w:rsidR="00A46FE2">
        <w:rPr>
          <w:rFonts w:ascii="Times New Roman" w:hAnsi="Times New Roman" w:cs="Times New Roman"/>
          <w:sz w:val="24"/>
          <w:szCs w:val="24"/>
        </w:rPr>
        <w:t>expense deferral</w:t>
      </w:r>
      <w:r w:rsidR="00EE4063">
        <w:rPr>
          <w:rFonts w:ascii="Times New Roman" w:hAnsi="Times New Roman" w:cs="Times New Roman"/>
          <w:sz w:val="24"/>
          <w:szCs w:val="24"/>
        </w:rPr>
        <w:t xml:space="preserve"> for higher growth firms.</w:t>
      </w:r>
      <w:r w:rsidR="00A46FE2">
        <w:rPr>
          <w:rFonts w:ascii="Times New Roman" w:hAnsi="Times New Roman" w:cs="Times New Roman"/>
          <w:sz w:val="24"/>
          <w:szCs w:val="24"/>
        </w:rPr>
        <w:t xml:space="preserve"> </w:t>
      </w:r>
      <w:r w:rsidR="001C7AA4">
        <w:rPr>
          <w:rFonts w:ascii="Times New Roman" w:hAnsi="Times New Roman" w:cs="Times New Roman"/>
          <w:sz w:val="24"/>
          <w:szCs w:val="24"/>
        </w:rPr>
        <w:t xml:space="preserve"> </w:t>
      </w:r>
      <w:r w:rsidR="00B157C6">
        <w:rPr>
          <w:rFonts w:ascii="Times New Roman" w:hAnsi="Times New Roman" w:cs="Times New Roman"/>
          <w:sz w:val="24"/>
          <w:szCs w:val="24"/>
        </w:rPr>
        <w:t>Thus, all of our tests support the conclusion that the accounting method affects the amount that firms invest in R&amp;D.</w:t>
      </w:r>
    </w:p>
    <w:p w14:paraId="69DE59AB" w14:textId="0FB2ED92" w:rsidR="00CE4FE5" w:rsidRDefault="00CE4FE5" w:rsidP="00A92E41">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Finally</w:t>
      </w:r>
      <w:r w:rsidR="00894257">
        <w:rPr>
          <w:rFonts w:ascii="Times New Roman" w:hAnsi="Times New Roman" w:cs="Times New Roman"/>
          <w:sz w:val="24"/>
          <w:szCs w:val="24"/>
        </w:rPr>
        <w:t>, to understand why</w:t>
      </w:r>
      <w:r>
        <w:rPr>
          <w:rFonts w:ascii="Times New Roman" w:hAnsi="Times New Roman" w:cs="Times New Roman"/>
          <w:sz w:val="24"/>
          <w:szCs w:val="24"/>
        </w:rPr>
        <w:t xml:space="preserve"> the accounting method </w:t>
      </w:r>
      <w:r w:rsidR="00894257">
        <w:rPr>
          <w:rFonts w:ascii="Times New Roman" w:hAnsi="Times New Roman" w:cs="Times New Roman"/>
          <w:sz w:val="24"/>
          <w:szCs w:val="24"/>
        </w:rPr>
        <w:t xml:space="preserve">matters, </w:t>
      </w:r>
      <w:r w:rsidR="007C22CF">
        <w:rPr>
          <w:rFonts w:ascii="Times New Roman" w:hAnsi="Times New Roman" w:cs="Times New Roman"/>
          <w:sz w:val="24"/>
          <w:szCs w:val="24"/>
        </w:rPr>
        <w:t>based on Roychowdhury et al</w:t>
      </w:r>
      <w:r w:rsidR="00941BBC">
        <w:rPr>
          <w:rFonts w:ascii="Times New Roman" w:hAnsi="Times New Roman" w:cs="Times New Roman"/>
          <w:sz w:val="24"/>
          <w:szCs w:val="24"/>
        </w:rPr>
        <w:t>.</w:t>
      </w:r>
      <w:r w:rsidR="007C22CF">
        <w:rPr>
          <w:rFonts w:ascii="Times New Roman" w:hAnsi="Times New Roman" w:cs="Times New Roman"/>
          <w:sz w:val="24"/>
          <w:szCs w:val="24"/>
        </w:rPr>
        <w:t xml:space="preserve"> (2019)</w:t>
      </w:r>
      <w:r w:rsidR="000A2D83">
        <w:rPr>
          <w:rFonts w:ascii="Times New Roman" w:hAnsi="Times New Roman" w:cs="Times New Roman"/>
          <w:sz w:val="24"/>
          <w:szCs w:val="24"/>
        </w:rPr>
        <w:t>,</w:t>
      </w:r>
      <w:r w:rsidR="007C22CF">
        <w:rPr>
          <w:rFonts w:ascii="Times New Roman" w:hAnsi="Times New Roman" w:cs="Times New Roman"/>
          <w:sz w:val="24"/>
          <w:szCs w:val="24"/>
        </w:rPr>
        <w:t xml:space="preserve"> </w:t>
      </w:r>
      <w:r>
        <w:rPr>
          <w:rFonts w:ascii="Times New Roman" w:hAnsi="Times New Roman" w:cs="Times New Roman"/>
          <w:sz w:val="24"/>
          <w:szCs w:val="24"/>
        </w:rPr>
        <w:t xml:space="preserve">we examine the mechanisms through which capitalization affects R&amp;D expenditures. First, we investigate the </w:t>
      </w:r>
      <w:r w:rsidR="00894257">
        <w:rPr>
          <w:rFonts w:ascii="Times New Roman" w:hAnsi="Times New Roman" w:cs="Times New Roman"/>
          <w:sz w:val="24"/>
          <w:szCs w:val="24"/>
        </w:rPr>
        <w:t>“</w:t>
      </w:r>
      <w:r>
        <w:rPr>
          <w:rFonts w:ascii="Times New Roman" w:hAnsi="Times New Roman" w:cs="Times New Roman"/>
          <w:sz w:val="24"/>
          <w:szCs w:val="24"/>
        </w:rPr>
        <w:t>profitability channel</w:t>
      </w:r>
      <w:r w:rsidR="00894257">
        <w:rPr>
          <w:rFonts w:ascii="Times New Roman" w:hAnsi="Times New Roman" w:cs="Times New Roman"/>
          <w:sz w:val="24"/>
          <w:szCs w:val="24"/>
        </w:rPr>
        <w:t>”</w:t>
      </w:r>
      <w:r>
        <w:rPr>
          <w:rFonts w:ascii="Times New Roman" w:hAnsi="Times New Roman" w:cs="Times New Roman"/>
          <w:sz w:val="24"/>
          <w:szCs w:val="24"/>
        </w:rPr>
        <w:t xml:space="preserve"> </w:t>
      </w:r>
      <w:r w:rsidR="00582B6B">
        <w:rPr>
          <w:rFonts w:ascii="Times New Roman" w:hAnsi="Times New Roman" w:cs="Times New Roman"/>
          <w:sz w:val="24"/>
          <w:szCs w:val="24"/>
        </w:rPr>
        <w:t xml:space="preserve">and </w:t>
      </w:r>
      <w:r>
        <w:rPr>
          <w:rFonts w:ascii="Times New Roman" w:hAnsi="Times New Roman" w:cs="Times New Roman"/>
          <w:sz w:val="24"/>
          <w:szCs w:val="24"/>
        </w:rPr>
        <w:t>examine switcher firms’ remuneration reports in their last year of UK GAAP and their first year of IFRS. These reports, which are part of the annual report, provide information on firms’ executive compensation plans. We find no cases where the performance metric(s) used are adjusted for the impact of R&amp;D accounting (expensing under UK GAAP and capitalizing under IFRS). Additionally, we find that a majority of firms use a profitability</w:t>
      </w:r>
      <w:r w:rsidR="00643397">
        <w:rPr>
          <w:rFonts w:ascii="Times New Roman" w:hAnsi="Times New Roman" w:cs="Times New Roman"/>
          <w:sz w:val="24"/>
          <w:szCs w:val="24"/>
        </w:rPr>
        <w:t>-</w:t>
      </w:r>
      <w:r>
        <w:rPr>
          <w:rFonts w:ascii="Times New Roman" w:hAnsi="Times New Roman" w:cs="Times New Roman"/>
          <w:sz w:val="24"/>
          <w:szCs w:val="24"/>
        </w:rPr>
        <w:t xml:space="preserve">based metric (e.g., profit, EPS, profit before tax, EBITDA) in the last year of UK GAAP for the annual bonus and the long-term incentive program. This evidence suggests that switchers under UK GAAP were concerned with firm profitability, </w:t>
      </w:r>
      <w:r w:rsidRPr="00E24D4E">
        <w:rPr>
          <w:rFonts w:ascii="Times New Roman" w:hAnsi="Times New Roman" w:cs="Times New Roman"/>
          <w:i/>
          <w:sz w:val="24"/>
          <w:szCs w:val="24"/>
        </w:rPr>
        <w:t>after R&amp;D expense</w:t>
      </w:r>
      <w:r>
        <w:rPr>
          <w:rFonts w:ascii="Times New Roman" w:hAnsi="Times New Roman" w:cs="Times New Roman"/>
          <w:sz w:val="24"/>
          <w:szCs w:val="24"/>
        </w:rPr>
        <w:t>, which is consistent with the switch to capitalization leading to an increase in R&amp;D expendi</w:t>
      </w:r>
      <w:r w:rsidR="00DE24DE">
        <w:rPr>
          <w:rFonts w:ascii="Times New Roman" w:hAnsi="Times New Roman" w:cs="Times New Roman"/>
          <w:sz w:val="24"/>
          <w:szCs w:val="24"/>
        </w:rPr>
        <w:t>tures by its impact on profitability</w:t>
      </w:r>
      <w:r>
        <w:rPr>
          <w:rFonts w:ascii="Times New Roman" w:hAnsi="Times New Roman" w:cs="Times New Roman"/>
          <w:sz w:val="24"/>
          <w:szCs w:val="24"/>
        </w:rPr>
        <w:t>.</w:t>
      </w:r>
      <w:r w:rsidR="00DE24DE">
        <w:rPr>
          <w:rFonts w:ascii="Times New Roman" w:hAnsi="Times New Roman" w:cs="Times New Roman"/>
          <w:sz w:val="24"/>
          <w:szCs w:val="24"/>
        </w:rPr>
        <w:t xml:space="preserve"> </w:t>
      </w:r>
      <w:r>
        <w:rPr>
          <w:rFonts w:ascii="Times New Roman" w:hAnsi="Times New Roman" w:cs="Times New Roman"/>
          <w:sz w:val="24"/>
          <w:szCs w:val="24"/>
        </w:rPr>
        <w:t>Second,</w:t>
      </w:r>
      <w:r w:rsidR="00DE24DE">
        <w:rPr>
          <w:rFonts w:ascii="Times New Roman" w:hAnsi="Times New Roman" w:cs="Times New Roman"/>
          <w:sz w:val="24"/>
          <w:szCs w:val="24"/>
        </w:rPr>
        <w:t xml:space="preserve"> we investigate the “external information channel</w:t>
      </w:r>
      <w:r w:rsidR="000401B4">
        <w:rPr>
          <w:rFonts w:ascii="Times New Roman" w:hAnsi="Times New Roman" w:cs="Times New Roman"/>
          <w:sz w:val="24"/>
          <w:szCs w:val="24"/>
        </w:rPr>
        <w:t>”. W</w:t>
      </w:r>
      <w:r>
        <w:rPr>
          <w:rFonts w:ascii="Times New Roman" w:hAnsi="Times New Roman" w:cs="Times New Roman"/>
          <w:sz w:val="24"/>
          <w:szCs w:val="24"/>
        </w:rPr>
        <w:t xml:space="preserve">e find that switchers have a reduction in their bid-ask spreads relative to capitalizers, suggesting that switchers’ relative cost of capital declines, </w:t>
      </w:r>
      <w:r w:rsidR="00F07969">
        <w:rPr>
          <w:rFonts w:ascii="Times New Roman" w:hAnsi="Times New Roman" w:cs="Times New Roman"/>
          <w:sz w:val="24"/>
          <w:szCs w:val="24"/>
        </w:rPr>
        <w:t xml:space="preserve">due to decline in information asymmetry between switching firms and the capital market. </w:t>
      </w:r>
      <w:r w:rsidR="000401B4">
        <w:rPr>
          <w:rFonts w:ascii="Times New Roman" w:hAnsi="Times New Roman" w:cs="Times New Roman"/>
          <w:sz w:val="24"/>
          <w:szCs w:val="24"/>
        </w:rPr>
        <w:t>Finally, we investigate the “internal learning channel</w:t>
      </w:r>
      <w:r w:rsidR="00E55E51">
        <w:rPr>
          <w:rFonts w:ascii="Times New Roman" w:hAnsi="Times New Roman" w:cs="Times New Roman"/>
          <w:sz w:val="24"/>
          <w:szCs w:val="24"/>
        </w:rPr>
        <w:t xml:space="preserve">”, and </w:t>
      </w:r>
      <w:r w:rsidR="000401B4">
        <w:rPr>
          <w:rFonts w:ascii="Times New Roman" w:hAnsi="Times New Roman" w:cs="Times New Roman"/>
          <w:sz w:val="24"/>
          <w:szCs w:val="24"/>
        </w:rPr>
        <w:t>w</w:t>
      </w:r>
      <w:r w:rsidR="007C22CF">
        <w:rPr>
          <w:rFonts w:ascii="Times New Roman" w:hAnsi="Times New Roman" w:cs="Times New Roman"/>
          <w:sz w:val="24"/>
          <w:szCs w:val="24"/>
        </w:rPr>
        <w:t>e find that switchers improve their investment efficiency</w:t>
      </w:r>
      <w:r w:rsidR="00E55E51">
        <w:rPr>
          <w:rFonts w:ascii="Times New Roman" w:hAnsi="Times New Roman" w:cs="Times New Roman"/>
          <w:sz w:val="24"/>
          <w:szCs w:val="24"/>
        </w:rPr>
        <w:t xml:space="preserve"> relative to capitalizers, consistent with </w:t>
      </w:r>
      <w:r w:rsidR="00B14F24">
        <w:rPr>
          <w:rFonts w:ascii="Times New Roman" w:hAnsi="Times New Roman" w:cs="Times New Roman"/>
          <w:sz w:val="24"/>
          <w:szCs w:val="24"/>
        </w:rPr>
        <w:t xml:space="preserve">switchers learning new information about the R&amp;D investments from </w:t>
      </w:r>
      <w:r w:rsidR="00E55E51">
        <w:rPr>
          <w:rFonts w:ascii="Times New Roman" w:hAnsi="Times New Roman" w:cs="Times New Roman"/>
          <w:sz w:val="24"/>
          <w:szCs w:val="24"/>
        </w:rPr>
        <w:t xml:space="preserve">the adoption of </w:t>
      </w:r>
      <w:r w:rsidR="00B14F24">
        <w:rPr>
          <w:rFonts w:ascii="Times New Roman" w:hAnsi="Times New Roman" w:cs="Times New Roman"/>
          <w:sz w:val="24"/>
          <w:szCs w:val="24"/>
        </w:rPr>
        <w:t xml:space="preserve">capitalization. </w:t>
      </w:r>
      <w:r>
        <w:rPr>
          <w:rFonts w:ascii="Times New Roman" w:hAnsi="Times New Roman" w:cs="Times New Roman"/>
          <w:sz w:val="24"/>
          <w:szCs w:val="24"/>
        </w:rPr>
        <w:t>Thus, the effect of capitalization on R&amp;D expenditures appears to work thr</w:t>
      </w:r>
      <w:r w:rsidR="00CA21F1">
        <w:rPr>
          <w:rFonts w:ascii="Times New Roman" w:hAnsi="Times New Roman" w:cs="Times New Roman"/>
          <w:sz w:val="24"/>
          <w:szCs w:val="24"/>
        </w:rPr>
        <w:t>o</w:t>
      </w:r>
      <w:r>
        <w:rPr>
          <w:rFonts w:ascii="Times New Roman" w:hAnsi="Times New Roman" w:cs="Times New Roman"/>
          <w:sz w:val="24"/>
          <w:szCs w:val="24"/>
        </w:rPr>
        <w:t>u</w:t>
      </w:r>
      <w:r w:rsidR="00CA21F1">
        <w:rPr>
          <w:rFonts w:ascii="Times New Roman" w:hAnsi="Times New Roman" w:cs="Times New Roman"/>
          <w:sz w:val="24"/>
          <w:szCs w:val="24"/>
        </w:rPr>
        <w:t>gh</w:t>
      </w:r>
      <w:r>
        <w:rPr>
          <w:rFonts w:ascii="Times New Roman" w:hAnsi="Times New Roman" w:cs="Times New Roman"/>
          <w:sz w:val="24"/>
          <w:szCs w:val="24"/>
        </w:rPr>
        <w:t xml:space="preserve"> multiple mechanisms.</w:t>
      </w:r>
    </w:p>
    <w:p w14:paraId="0649F9A7" w14:textId="34A06024" w:rsidR="00C70C91" w:rsidRDefault="00AA24E7" w:rsidP="00A92E41">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We contribute to the accounting literature by addressing an important, unresolved issue that has interested researchers for decades</w:t>
      </w:r>
      <w:r w:rsidR="008E13D4">
        <w:rPr>
          <w:rFonts w:ascii="Times New Roman" w:hAnsi="Times New Roman" w:cs="Times New Roman"/>
          <w:sz w:val="24"/>
          <w:szCs w:val="24"/>
        </w:rPr>
        <w:t>:</w:t>
      </w:r>
      <w:r w:rsidR="00CE4FE5">
        <w:rPr>
          <w:rFonts w:ascii="Times New Roman" w:hAnsi="Times New Roman" w:cs="Times New Roman"/>
          <w:sz w:val="24"/>
          <w:szCs w:val="24"/>
        </w:rPr>
        <w:t xml:space="preserve"> whether and how R&amp;D accounting rules affect R&amp;D investment</w:t>
      </w:r>
      <w:r>
        <w:rPr>
          <w:rFonts w:ascii="Times New Roman" w:hAnsi="Times New Roman" w:cs="Times New Roman"/>
          <w:sz w:val="24"/>
          <w:szCs w:val="24"/>
        </w:rPr>
        <w:t xml:space="preserve">. </w:t>
      </w:r>
      <w:r w:rsidR="00C70C91">
        <w:rPr>
          <w:rFonts w:ascii="Times New Roman" w:hAnsi="Times New Roman" w:cs="Times New Roman"/>
          <w:sz w:val="24"/>
          <w:szCs w:val="24"/>
        </w:rPr>
        <w:t>Our results attest to the real effects of accounting policy on firms’ R&amp;D investments</w:t>
      </w:r>
      <w:r>
        <w:rPr>
          <w:rFonts w:ascii="Times New Roman" w:hAnsi="Times New Roman" w:cs="Times New Roman"/>
          <w:sz w:val="24"/>
          <w:szCs w:val="24"/>
        </w:rPr>
        <w:t>, and thus to the importance of accounting methods</w:t>
      </w:r>
      <w:r w:rsidR="00FC7F23">
        <w:rPr>
          <w:rFonts w:ascii="Times New Roman" w:hAnsi="Times New Roman" w:cs="Times New Roman"/>
          <w:sz w:val="24"/>
          <w:szCs w:val="24"/>
        </w:rPr>
        <w:t xml:space="preserve"> in this crucial context</w:t>
      </w:r>
      <w:r w:rsidR="00C70C91">
        <w:rPr>
          <w:rFonts w:ascii="Times New Roman" w:hAnsi="Times New Roman" w:cs="Times New Roman"/>
          <w:sz w:val="24"/>
          <w:szCs w:val="24"/>
        </w:rPr>
        <w:t xml:space="preserve">. </w:t>
      </w:r>
      <w:r w:rsidR="00001A3B">
        <w:rPr>
          <w:rFonts w:ascii="Times New Roman" w:hAnsi="Times New Roman" w:cs="Times New Roman"/>
          <w:sz w:val="24"/>
          <w:szCs w:val="24"/>
        </w:rPr>
        <w:t>We caveat, however, that a limitation of our research design is that</w:t>
      </w:r>
      <w:r w:rsidR="00E0372A">
        <w:rPr>
          <w:rFonts w:ascii="Times New Roman" w:hAnsi="Times New Roman" w:cs="Times New Roman"/>
          <w:sz w:val="24"/>
          <w:szCs w:val="24"/>
        </w:rPr>
        <w:t xml:space="preserve"> </w:t>
      </w:r>
      <w:r w:rsidR="00001A3B">
        <w:rPr>
          <w:rFonts w:ascii="Times New Roman" w:hAnsi="Times New Roman" w:cs="Times New Roman"/>
          <w:sz w:val="24"/>
          <w:szCs w:val="24"/>
        </w:rPr>
        <w:t xml:space="preserve">a firm’s choice to capitalize vs expense </w:t>
      </w:r>
      <w:r w:rsidR="006B2C55">
        <w:rPr>
          <w:rFonts w:ascii="Times New Roman" w:hAnsi="Times New Roman" w:cs="Times New Roman"/>
          <w:sz w:val="24"/>
          <w:szCs w:val="24"/>
        </w:rPr>
        <w:t xml:space="preserve">under UK GAAP </w:t>
      </w:r>
      <w:r w:rsidR="00001A3B">
        <w:rPr>
          <w:rFonts w:ascii="Times New Roman" w:hAnsi="Times New Roman" w:cs="Times New Roman"/>
          <w:sz w:val="24"/>
          <w:szCs w:val="24"/>
        </w:rPr>
        <w:t>is endogenous</w:t>
      </w:r>
      <w:r w:rsidR="006B2C55">
        <w:rPr>
          <w:rFonts w:ascii="Times New Roman" w:hAnsi="Times New Roman" w:cs="Times New Roman"/>
          <w:sz w:val="24"/>
          <w:szCs w:val="24"/>
        </w:rPr>
        <w:t>. Since</w:t>
      </w:r>
      <w:r w:rsidR="00A90EE2">
        <w:rPr>
          <w:rFonts w:ascii="Times New Roman" w:hAnsi="Times New Roman" w:cs="Times New Roman"/>
          <w:sz w:val="24"/>
          <w:szCs w:val="24"/>
        </w:rPr>
        <w:t xml:space="preserve"> the determinants of this choice</w:t>
      </w:r>
      <w:r w:rsidR="004068D8">
        <w:rPr>
          <w:rFonts w:ascii="Times New Roman" w:hAnsi="Times New Roman" w:cs="Times New Roman"/>
          <w:sz w:val="24"/>
          <w:szCs w:val="24"/>
        </w:rPr>
        <w:t xml:space="preserve"> are unobservable and </w:t>
      </w:r>
      <w:r w:rsidR="00001A3B">
        <w:rPr>
          <w:rFonts w:ascii="Times New Roman" w:hAnsi="Times New Roman" w:cs="Times New Roman"/>
          <w:sz w:val="24"/>
          <w:szCs w:val="24"/>
        </w:rPr>
        <w:t>might be correlated with how R&amp;D expenditures change after IFRS adoption,</w:t>
      </w:r>
      <w:r w:rsidR="00F30B30">
        <w:rPr>
          <w:rFonts w:ascii="Times New Roman" w:hAnsi="Times New Roman" w:cs="Times New Roman"/>
          <w:sz w:val="24"/>
          <w:szCs w:val="24"/>
        </w:rPr>
        <w:t xml:space="preserve"> our results m</w:t>
      </w:r>
      <w:r w:rsidR="00475700">
        <w:rPr>
          <w:rFonts w:ascii="Times New Roman" w:hAnsi="Times New Roman" w:cs="Times New Roman"/>
          <w:sz w:val="24"/>
          <w:szCs w:val="24"/>
        </w:rPr>
        <w:t>ight</w:t>
      </w:r>
      <w:r w:rsidR="00F30B30">
        <w:rPr>
          <w:rFonts w:ascii="Times New Roman" w:hAnsi="Times New Roman" w:cs="Times New Roman"/>
          <w:sz w:val="24"/>
          <w:szCs w:val="24"/>
        </w:rPr>
        <w:t xml:space="preserve"> </w:t>
      </w:r>
      <w:r w:rsidR="004068D8">
        <w:rPr>
          <w:rFonts w:ascii="Times New Roman" w:hAnsi="Times New Roman" w:cs="Times New Roman"/>
          <w:sz w:val="24"/>
          <w:szCs w:val="24"/>
        </w:rPr>
        <w:t xml:space="preserve">be subject to </w:t>
      </w:r>
      <w:r w:rsidR="00F46E7D">
        <w:rPr>
          <w:rFonts w:ascii="Times New Roman" w:hAnsi="Times New Roman" w:cs="Times New Roman"/>
          <w:sz w:val="24"/>
          <w:szCs w:val="24"/>
        </w:rPr>
        <w:t>endogeneity bias.</w:t>
      </w:r>
    </w:p>
    <w:p w14:paraId="0827527E" w14:textId="1F20B65A" w:rsidR="00A06770" w:rsidRDefault="00935CF4" w:rsidP="00A92E41">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The rest of the paper is organized as follows. Section 2 reviews the literature on the effect of capitalization vs expensing on firms’ R&amp;D expenditures. Section 3 discusses our hypotheses and tests.</w:t>
      </w:r>
      <w:r w:rsidR="0040194E">
        <w:rPr>
          <w:rFonts w:ascii="Times New Roman" w:hAnsi="Times New Roman" w:cs="Times New Roman"/>
          <w:sz w:val="24"/>
          <w:szCs w:val="24"/>
        </w:rPr>
        <w:t xml:space="preserve"> Section </w:t>
      </w:r>
      <w:r w:rsidR="00182FAB">
        <w:rPr>
          <w:rFonts w:ascii="Times New Roman" w:hAnsi="Times New Roman" w:cs="Times New Roman"/>
          <w:sz w:val="24"/>
          <w:szCs w:val="24"/>
        </w:rPr>
        <w:t>4</w:t>
      </w:r>
      <w:r w:rsidR="0040194E">
        <w:rPr>
          <w:rFonts w:ascii="Times New Roman" w:hAnsi="Times New Roman" w:cs="Times New Roman"/>
          <w:sz w:val="24"/>
          <w:szCs w:val="24"/>
        </w:rPr>
        <w:t xml:space="preserve"> describes our data and sample</w:t>
      </w:r>
      <w:r w:rsidR="00182FAB">
        <w:rPr>
          <w:rFonts w:ascii="Times New Roman" w:hAnsi="Times New Roman" w:cs="Times New Roman"/>
          <w:sz w:val="24"/>
          <w:szCs w:val="24"/>
        </w:rPr>
        <w:t xml:space="preserve">. Section 5 analyzes firms’ capitalize vs expense decisions under UK GAAP. </w:t>
      </w:r>
      <w:r w:rsidR="0040194E">
        <w:rPr>
          <w:rFonts w:ascii="Times New Roman" w:hAnsi="Times New Roman" w:cs="Times New Roman"/>
          <w:sz w:val="24"/>
          <w:szCs w:val="24"/>
        </w:rPr>
        <w:t xml:space="preserve">Section </w:t>
      </w:r>
      <w:r w:rsidR="003D5C4B">
        <w:rPr>
          <w:rFonts w:ascii="Times New Roman" w:hAnsi="Times New Roman" w:cs="Times New Roman"/>
          <w:sz w:val="24"/>
          <w:szCs w:val="24"/>
        </w:rPr>
        <w:t>6</w:t>
      </w:r>
      <w:r w:rsidR="0040194E">
        <w:rPr>
          <w:rFonts w:ascii="Times New Roman" w:hAnsi="Times New Roman" w:cs="Times New Roman"/>
          <w:sz w:val="24"/>
          <w:szCs w:val="24"/>
        </w:rPr>
        <w:t xml:space="preserve"> reports our </w:t>
      </w:r>
      <w:r w:rsidR="00200126">
        <w:rPr>
          <w:rFonts w:ascii="Times New Roman" w:hAnsi="Times New Roman" w:cs="Times New Roman"/>
          <w:sz w:val="24"/>
          <w:szCs w:val="24"/>
        </w:rPr>
        <w:t>test</w:t>
      </w:r>
      <w:r w:rsidR="0040194E">
        <w:rPr>
          <w:rFonts w:ascii="Times New Roman" w:hAnsi="Times New Roman" w:cs="Times New Roman"/>
          <w:sz w:val="24"/>
          <w:szCs w:val="24"/>
        </w:rPr>
        <w:t xml:space="preserve"> results. Section </w:t>
      </w:r>
      <w:r w:rsidR="00720D2B">
        <w:rPr>
          <w:rFonts w:ascii="Times New Roman" w:hAnsi="Times New Roman" w:cs="Times New Roman"/>
          <w:sz w:val="24"/>
          <w:szCs w:val="24"/>
        </w:rPr>
        <w:t>7</w:t>
      </w:r>
      <w:r w:rsidR="0040194E">
        <w:rPr>
          <w:rFonts w:ascii="Times New Roman" w:hAnsi="Times New Roman" w:cs="Times New Roman"/>
          <w:sz w:val="24"/>
          <w:szCs w:val="24"/>
        </w:rPr>
        <w:t xml:space="preserve"> </w:t>
      </w:r>
      <w:r w:rsidR="00CE4FE5">
        <w:rPr>
          <w:rFonts w:ascii="Times New Roman" w:hAnsi="Times New Roman" w:cs="Times New Roman"/>
          <w:sz w:val="24"/>
          <w:szCs w:val="24"/>
        </w:rPr>
        <w:t>investigates the mechanisms thr</w:t>
      </w:r>
      <w:r w:rsidR="00CA21F1">
        <w:rPr>
          <w:rFonts w:ascii="Times New Roman" w:hAnsi="Times New Roman" w:cs="Times New Roman"/>
          <w:sz w:val="24"/>
          <w:szCs w:val="24"/>
        </w:rPr>
        <w:t>o</w:t>
      </w:r>
      <w:r w:rsidR="00CE4FE5">
        <w:rPr>
          <w:rFonts w:ascii="Times New Roman" w:hAnsi="Times New Roman" w:cs="Times New Roman"/>
          <w:sz w:val="24"/>
          <w:szCs w:val="24"/>
        </w:rPr>
        <w:t>u</w:t>
      </w:r>
      <w:r w:rsidR="00CA21F1">
        <w:rPr>
          <w:rFonts w:ascii="Times New Roman" w:hAnsi="Times New Roman" w:cs="Times New Roman"/>
          <w:sz w:val="24"/>
          <w:szCs w:val="24"/>
        </w:rPr>
        <w:t>gh</w:t>
      </w:r>
      <w:r w:rsidR="00CE4FE5">
        <w:rPr>
          <w:rFonts w:ascii="Times New Roman" w:hAnsi="Times New Roman" w:cs="Times New Roman"/>
          <w:sz w:val="24"/>
          <w:szCs w:val="24"/>
        </w:rPr>
        <w:t xml:space="preserve"> which capitalization affects R&amp;D expenditures. Section 8 </w:t>
      </w:r>
      <w:r w:rsidR="0040194E">
        <w:rPr>
          <w:rFonts w:ascii="Times New Roman" w:hAnsi="Times New Roman" w:cs="Times New Roman"/>
          <w:sz w:val="24"/>
          <w:szCs w:val="24"/>
        </w:rPr>
        <w:t>concludes.</w:t>
      </w:r>
    </w:p>
    <w:p w14:paraId="5260F795" w14:textId="77777777" w:rsidR="00935CF4" w:rsidRDefault="00935CF4" w:rsidP="00985B47">
      <w:pPr>
        <w:spacing w:after="0" w:line="480" w:lineRule="auto"/>
        <w:ind w:firstLine="360"/>
        <w:rPr>
          <w:rFonts w:ascii="Times New Roman" w:hAnsi="Times New Roman" w:cs="Times New Roman"/>
          <w:sz w:val="24"/>
          <w:szCs w:val="24"/>
        </w:rPr>
      </w:pPr>
    </w:p>
    <w:p w14:paraId="3F81D52B" w14:textId="6C8D30E9" w:rsidR="00A06770" w:rsidRPr="00F07969" w:rsidRDefault="00AC7FF1" w:rsidP="00F07969">
      <w:pPr>
        <w:pStyle w:val="ListParagraph"/>
        <w:numPr>
          <w:ilvl w:val="0"/>
          <w:numId w:val="1"/>
        </w:numPr>
        <w:tabs>
          <w:tab w:val="left" w:pos="360"/>
        </w:tabs>
        <w:spacing w:after="0" w:line="480" w:lineRule="auto"/>
        <w:ind w:left="0" w:firstLine="0"/>
        <w:rPr>
          <w:rFonts w:ascii="Times New Roman" w:hAnsi="Times New Roman" w:cs="Times New Roman"/>
          <w:b/>
          <w:sz w:val="24"/>
          <w:szCs w:val="24"/>
        </w:rPr>
      </w:pPr>
      <w:r w:rsidRPr="00F07969">
        <w:rPr>
          <w:rFonts w:ascii="Times New Roman" w:hAnsi="Times New Roman" w:cs="Times New Roman"/>
          <w:b/>
          <w:sz w:val="24"/>
          <w:szCs w:val="24"/>
        </w:rPr>
        <w:t>Literature Review</w:t>
      </w:r>
    </w:p>
    <w:p w14:paraId="53587F35" w14:textId="5678D149" w:rsidR="00F67D90" w:rsidRDefault="009A044A" w:rsidP="00D3582D">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Our paper deals with the real effects of accounting rules, with specific emphasis on R&amp;D. There is a large extant literature that examines the impact of accounting changes on managerial actions. A wide breadth of accounting rule changes have been examined</w:t>
      </w:r>
      <w:r w:rsidR="003F1521" w:rsidRPr="003F1521">
        <w:rPr>
          <w:rFonts w:ascii="Times New Roman" w:hAnsi="Times New Roman" w:cs="Times New Roman"/>
          <w:sz w:val="24"/>
          <w:szCs w:val="24"/>
        </w:rPr>
        <w:t>.</w:t>
      </w:r>
      <w:r w:rsidR="003F1521">
        <w:rPr>
          <w:rFonts w:ascii="Times New Roman" w:hAnsi="Times New Roman" w:cs="Times New Roman"/>
          <w:sz w:val="24"/>
          <w:szCs w:val="24"/>
        </w:rPr>
        <w:t xml:space="preserve"> </w:t>
      </w:r>
      <w:r w:rsidR="00387C32">
        <w:rPr>
          <w:rFonts w:ascii="Times New Roman" w:hAnsi="Times New Roman" w:cs="Times New Roman"/>
          <w:sz w:val="24"/>
          <w:szCs w:val="24"/>
        </w:rPr>
        <w:t xml:space="preserve">For example, Shroff (2017) examines the impact of forty-nine accounting changes on firm investments, and he finds evidence that complying with some changes in GAAP affects managers’ investment decisions. </w:t>
      </w:r>
      <w:r w:rsidR="00AA0B15">
        <w:rPr>
          <w:rFonts w:ascii="Times New Roman" w:hAnsi="Times New Roman" w:cs="Times New Roman"/>
          <w:sz w:val="24"/>
          <w:szCs w:val="24"/>
        </w:rPr>
        <w:t xml:space="preserve">Additionally, in a comprehensive review of the literature, </w:t>
      </w:r>
      <w:r w:rsidR="003F1521">
        <w:rPr>
          <w:rFonts w:ascii="Times New Roman" w:hAnsi="Times New Roman" w:cs="Times New Roman"/>
          <w:sz w:val="24"/>
          <w:szCs w:val="24"/>
        </w:rPr>
        <w:t>Roychowdhury et al</w:t>
      </w:r>
      <w:r w:rsidR="00574AAD">
        <w:rPr>
          <w:rFonts w:ascii="Times New Roman" w:hAnsi="Times New Roman" w:cs="Times New Roman"/>
          <w:sz w:val="24"/>
          <w:szCs w:val="24"/>
        </w:rPr>
        <w:t>.</w:t>
      </w:r>
      <w:r w:rsidR="003F1521">
        <w:rPr>
          <w:rFonts w:ascii="Times New Roman" w:hAnsi="Times New Roman" w:cs="Times New Roman"/>
          <w:sz w:val="24"/>
          <w:szCs w:val="24"/>
        </w:rPr>
        <w:t xml:space="preserve"> (2019)</w:t>
      </w:r>
      <w:r w:rsidR="00AA0B15">
        <w:rPr>
          <w:rFonts w:ascii="Times New Roman" w:hAnsi="Times New Roman" w:cs="Times New Roman"/>
          <w:sz w:val="24"/>
          <w:szCs w:val="24"/>
        </w:rPr>
        <w:t xml:space="preserve"> lead to a</w:t>
      </w:r>
      <w:r>
        <w:rPr>
          <w:rFonts w:ascii="Times New Roman" w:hAnsi="Times New Roman" w:cs="Times New Roman"/>
          <w:sz w:val="24"/>
          <w:szCs w:val="24"/>
        </w:rPr>
        <w:t xml:space="preserve"> general conclusion that accounting does have real effects. Our paper contributes to this literature by focusing on accounting for R&amp;D, which is important both because of its relation to innovation and economic growth, and because accounting for R&amp;D is one of the major differences between US GAAP and IFRS.</w:t>
      </w:r>
    </w:p>
    <w:p w14:paraId="56D3A7F1" w14:textId="394FB4C5" w:rsidR="009A044A" w:rsidRDefault="009A044A" w:rsidP="003F3841">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In the 1970’s and 1980’s, there was much interest among researchers about the effect of capitalization vs expensing on firms’ R&amp;D expenditures and firm valuation, due to the passage on SFAS 2 in 1974, which mandated expensing of virtually all R&amp;D expenditures in the U.S. Dukes</w:t>
      </w:r>
      <w:r w:rsidR="00AA0B15">
        <w:rPr>
          <w:rFonts w:ascii="Times New Roman" w:hAnsi="Times New Roman" w:cs="Times New Roman"/>
          <w:sz w:val="24"/>
          <w:szCs w:val="24"/>
        </w:rPr>
        <w:t xml:space="preserve"> et al. </w:t>
      </w:r>
      <w:r>
        <w:rPr>
          <w:rFonts w:ascii="Times New Roman" w:hAnsi="Times New Roman" w:cs="Times New Roman"/>
          <w:sz w:val="24"/>
          <w:szCs w:val="24"/>
        </w:rPr>
        <w:t xml:space="preserve"> (1980) and Horowitz and Kolodny (1980) examine the impact of SFAS 2 on firms’ R&amp;D expenditures. Both studies use </w:t>
      </w:r>
      <w:r w:rsidR="00673791">
        <w:rPr>
          <w:rFonts w:ascii="Times New Roman" w:hAnsi="Times New Roman" w:cs="Times New Roman"/>
          <w:sz w:val="24"/>
          <w:szCs w:val="24"/>
        </w:rPr>
        <w:t xml:space="preserve">small samples (24 and 43 treatment firms, and matched control firms, respectively) </w:t>
      </w:r>
      <w:r>
        <w:rPr>
          <w:rFonts w:ascii="Times New Roman" w:hAnsi="Times New Roman" w:cs="Times New Roman"/>
          <w:sz w:val="24"/>
          <w:szCs w:val="24"/>
        </w:rPr>
        <w:t>Dukes</w:t>
      </w:r>
      <w:r w:rsidR="00AA0B15">
        <w:rPr>
          <w:rFonts w:ascii="Times New Roman" w:hAnsi="Times New Roman" w:cs="Times New Roman"/>
          <w:sz w:val="24"/>
          <w:szCs w:val="24"/>
        </w:rPr>
        <w:t xml:space="preserve"> et al. </w:t>
      </w:r>
      <w:r>
        <w:rPr>
          <w:rFonts w:ascii="Times New Roman" w:hAnsi="Times New Roman" w:cs="Times New Roman"/>
          <w:sz w:val="24"/>
          <w:szCs w:val="24"/>
        </w:rPr>
        <w:t xml:space="preserve">(1980) find no significant </w:t>
      </w:r>
      <w:r w:rsidR="00673791">
        <w:rPr>
          <w:rFonts w:ascii="Times New Roman" w:hAnsi="Times New Roman" w:cs="Times New Roman"/>
          <w:sz w:val="24"/>
          <w:szCs w:val="24"/>
        </w:rPr>
        <w:t>effects;</w:t>
      </w:r>
      <w:r>
        <w:rPr>
          <w:rFonts w:ascii="Times New Roman" w:hAnsi="Times New Roman" w:cs="Times New Roman"/>
          <w:sz w:val="24"/>
          <w:szCs w:val="24"/>
        </w:rPr>
        <w:t xml:space="preserve"> in contrast, Horowitz and Kolodny (1980) find a significant decline in the R&amp;D/Sales of the treatment firms relative to the control firms.</w:t>
      </w:r>
    </w:p>
    <w:p w14:paraId="36F3DC6A" w14:textId="41D6CD85" w:rsidR="009A044A" w:rsidRDefault="009A044A" w:rsidP="003F3841">
      <w:pPr>
        <w:spacing w:after="0" w:line="480" w:lineRule="auto"/>
        <w:ind w:firstLine="540"/>
        <w:jc w:val="both"/>
        <w:rPr>
          <w:rFonts w:ascii="Times New Roman" w:hAnsi="Times New Roman" w:cs="Times New Roman"/>
          <w:sz w:val="24"/>
          <w:szCs w:val="24"/>
        </w:rPr>
      </w:pPr>
      <w:r>
        <w:rPr>
          <w:rFonts w:ascii="Times New Roman" w:hAnsi="Times New Roman" w:cs="Times New Roman"/>
          <w:sz w:val="24"/>
          <w:szCs w:val="24"/>
        </w:rPr>
        <w:t>Elliott et al. (1984) attempt to reconcile the conflicting results in Dukes</w:t>
      </w:r>
      <w:r w:rsidR="00AA0B15">
        <w:rPr>
          <w:rFonts w:ascii="Times New Roman" w:hAnsi="Times New Roman" w:cs="Times New Roman"/>
          <w:sz w:val="24"/>
          <w:szCs w:val="24"/>
        </w:rPr>
        <w:t xml:space="preserve"> et al. </w:t>
      </w:r>
      <w:r>
        <w:rPr>
          <w:rFonts w:ascii="Times New Roman" w:hAnsi="Times New Roman" w:cs="Times New Roman"/>
          <w:sz w:val="24"/>
          <w:szCs w:val="24"/>
        </w:rPr>
        <w:t>(1980) vs Horowitz and Kolodny (1980), by focusing on size and listing differences between the firms in the two studies</w:t>
      </w:r>
      <w:r w:rsidR="00F772F5">
        <w:rPr>
          <w:rFonts w:ascii="Times New Roman" w:hAnsi="Times New Roman" w:cs="Times New Roman"/>
          <w:sz w:val="24"/>
          <w:szCs w:val="24"/>
        </w:rPr>
        <w:t xml:space="preserve">, and found that </w:t>
      </w:r>
      <w:r>
        <w:rPr>
          <w:rFonts w:ascii="Times New Roman" w:hAnsi="Times New Roman" w:cs="Times New Roman"/>
          <w:sz w:val="24"/>
          <w:szCs w:val="24"/>
        </w:rPr>
        <w:t>economic differences between the two groups might be responsible for the observed effects. For example, capitalizers had lower profitability in the years preceding SFAS 2, which was issued during a recession, so the accounting change may have exacerbated their problems. In the end, they conclude that while there is an association between SFAS 2 and declines in R&amp;D expenditures for capitalizers, evidence of a decline for some capitalizers prior to SFAS 2, and the fact that some firms voluntarily switched to expensing before the mandatory date, suggest that association might not mean causation.</w:t>
      </w:r>
    </w:p>
    <w:p w14:paraId="740FA35D" w14:textId="563162A3" w:rsidR="009A044A" w:rsidRPr="00BC79D7" w:rsidRDefault="009A044A" w:rsidP="00E757AB">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above studies focused on R&amp;D expenditures. Wasley and Linsmeier (1992) conduct an event study to examine security price effects surrounding SFAS 2, under the maintained hypothesis that if SFAS 2 affected market expectations about firms’ R&amp;D, there should be a cross-sectional association between firms’ stock returns around the announcement of the accounting change and their subsequent declines in R&amp;D expenditures. The importance of such a study is that it can pinpoint the stock market’s reaction to exactly the time it learned about the accounting change, thus mitigating the possibility that other factors drive the results. Finding such an association, they conclude that SFAS </w:t>
      </w:r>
      <w:r w:rsidR="00BE3030">
        <w:rPr>
          <w:rFonts w:ascii="Times New Roman" w:hAnsi="Times New Roman" w:cs="Times New Roman"/>
          <w:sz w:val="24"/>
          <w:szCs w:val="24"/>
        </w:rPr>
        <w:t xml:space="preserve">2 </w:t>
      </w:r>
      <w:r>
        <w:rPr>
          <w:rFonts w:ascii="Times New Roman" w:hAnsi="Times New Roman" w:cs="Times New Roman"/>
          <w:sz w:val="24"/>
          <w:szCs w:val="24"/>
        </w:rPr>
        <w:t xml:space="preserve">did have an impact on firms’ R&amp;D outlays, but </w:t>
      </w:r>
      <w:r w:rsidRPr="00BC79D7">
        <w:rPr>
          <w:rFonts w:ascii="Times New Roman" w:hAnsi="Times New Roman" w:cs="Times New Roman"/>
          <w:sz w:val="24"/>
          <w:szCs w:val="24"/>
        </w:rPr>
        <w:t xml:space="preserve">only for OTC firms, not listed firms. </w:t>
      </w:r>
    </w:p>
    <w:p w14:paraId="675935A2" w14:textId="58A6A56B" w:rsidR="00B11B7B" w:rsidRPr="00BC79D7" w:rsidRDefault="009A044A" w:rsidP="00E757AB">
      <w:pPr>
        <w:pStyle w:val="FootnoteText"/>
        <w:spacing w:line="480" w:lineRule="auto"/>
        <w:ind w:firstLine="567"/>
        <w:jc w:val="both"/>
        <w:rPr>
          <w:rFonts w:ascii="Times New Roman" w:hAnsi="Times New Roman" w:cs="Times New Roman"/>
          <w:sz w:val="24"/>
          <w:szCs w:val="24"/>
        </w:rPr>
      </w:pPr>
      <w:r w:rsidRPr="00BC79D7">
        <w:rPr>
          <w:rFonts w:ascii="Times New Roman" w:hAnsi="Times New Roman" w:cs="Times New Roman"/>
          <w:sz w:val="24"/>
          <w:szCs w:val="24"/>
        </w:rPr>
        <w:t xml:space="preserve">Overall, given the small samples and other methodological problems, previous research on the effect of R&amp;D reporting on R&amp;D behavior reached inconsistent and inconclusive results. In recent decades, because all U.S. firms must expense, and thus there is no variation to study that affects outcomes, interest in R&amp;D accounting declined and has switched primarily to </w:t>
      </w:r>
      <w:r w:rsidR="007B75DB" w:rsidRPr="00BC79D7">
        <w:rPr>
          <w:rFonts w:ascii="Times New Roman" w:hAnsi="Times New Roman" w:cs="Times New Roman"/>
          <w:sz w:val="24"/>
          <w:szCs w:val="24"/>
        </w:rPr>
        <w:t>the use of cutting R&amp;D expenditures for real earnings management</w:t>
      </w:r>
      <w:r w:rsidRPr="00BC79D7">
        <w:rPr>
          <w:rFonts w:ascii="Times New Roman" w:hAnsi="Times New Roman" w:cs="Times New Roman"/>
          <w:sz w:val="24"/>
          <w:szCs w:val="24"/>
        </w:rPr>
        <w:t xml:space="preserve">. </w:t>
      </w:r>
      <w:r w:rsidR="00177A23" w:rsidRPr="00BC79D7">
        <w:rPr>
          <w:rFonts w:ascii="Times New Roman" w:hAnsi="Times New Roman" w:cs="Times New Roman"/>
          <w:sz w:val="24"/>
          <w:szCs w:val="24"/>
        </w:rPr>
        <w:t>Baber, Fairfield, and Haggard (1991)</w:t>
      </w:r>
      <w:r w:rsidR="00BC79D7" w:rsidRPr="00BC79D7">
        <w:rPr>
          <w:rFonts w:ascii="Times New Roman" w:hAnsi="Times New Roman" w:cs="Times New Roman"/>
          <w:sz w:val="24"/>
          <w:szCs w:val="24"/>
        </w:rPr>
        <w:t>, Graham</w:t>
      </w:r>
      <w:r w:rsidR="00BC79D7">
        <w:rPr>
          <w:rFonts w:ascii="Times New Roman" w:hAnsi="Times New Roman" w:cs="Times New Roman"/>
          <w:sz w:val="24"/>
          <w:szCs w:val="24"/>
        </w:rPr>
        <w:t xml:space="preserve"> et al</w:t>
      </w:r>
      <w:r w:rsidR="00AA0B15">
        <w:rPr>
          <w:rFonts w:ascii="Times New Roman" w:hAnsi="Times New Roman" w:cs="Times New Roman"/>
          <w:sz w:val="24"/>
          <w:szCs w:val="24"/>
        </w:rPr>
        <w:t>.</w:t>
      </w:r>
      <w:r w:rsidR="00BC79D7">
        <w:rPr>
          <w:rFonts w:ascii="Times New Roman" w:hAnsi="Times New Roman" w:cs="Times New Roman"/>
          <w:sz w:val="24"/>
          <w:szCs w:val="24"/>
        </w:rPr>
        <w:t xml:space="preserve"> </w:t>
      </w:r>
      <w:r w:rsidR="00BC79D7" w:rsidRPr="00BC79D7">
        <w:rPr>
          <w:rFonts w:ascii="Times New Roman" w:hAnsi="Times New Roman" w:cs="Times New Roman"/>
          <w:sz w:val="24"/>
          <w:szCs w:val="24"/>
        </w:rPr>
        <w:t xml:space="preserve">(2005), </w:t>
      </w:r>
      <w:r w:rsidR="00177A23" w:rsidRPr="00BC79D7">
        <w:rPr>
          <w:rFonts w:ascii="Times New Roman" w:hAnsi="Times New Roman" w:cs="Times New Roman"/>
          <w:sz w:val="24"/>
          <w:szCs w:val="24"/>
        </w:rPr>
        <w:t xml:space="preserve">and Gunny (2010) find that R&amp;D is used for real earnings management, to meet benchmarks. </w:t>
      </w:r>
      <w:r w:rsidR="00BC79D7" w:rsidRPr="00BC79D7">
        <w:rPr>
          <w:rFonts w:ascii="Times New Roman" w:hAnsi="Times New Roman" w:cs="Times New Roman"/>
          <w:sz w:val="24"/>
          <w:szCs w:val="24"/>
        </w:rPr>
        <w:t xml:space="preserve">Dechow and Sloan (1991) show that </w:t>
      </w:r>
      <w:r w:rsidR="0007114F">
        <w:rPr>
          <w:rFonts w:ascii="Times New Roman" w:hAnsi="Times New Roman" w:cs="Times New Roman"/>
          <w:sz w:val="24"/>
          <w:szCs w:val="24"/>
        </w:rPr>
        <w:t xml:space="preserve">executives close to retirement </w:t>
      </w:r>
      <w:r w:rsidR="00BC79D7" w:rsidRPr="00BC79D7">
        <w:rPr>
          <w:rFonts w:ascii="Times New Roman" w:hAnsi="Times New Roman" w:cs="Times New Roman"/>
          <w:sz w:val="24"/>
          <w:szCs w:val="24"/>
        </w:rPr>
        <w:t xml:space="preserve">reduce R&amp;D expenditures to increase current earnings. </w:t>
      </w:r>
      <w:r w:rsidR="00177A23" w:rsidRPr="00BC79D7">
        <w:rPr>
          <w:rFonts w:ascii="Times New Roman" w:hAnsi="Times New Roman" w:cs="Times New Roman"/>
          <w:sz w:val="24"/>
          <w:szCs w:val="24"/>
        </w:rPr>
        <w:t xml:space="preserve">Bushee (1998) finds that </w:t>
      </w:r>
      <w:r w:rsidR="0007114F">
        <w:rPr>
          <w:rFonts w:ascii="Times New Roman" w:hAnsi="Times New Roman" w:cs="Times New Roman"/>
          <w:sz w:val="24"/>
          <w:szCs w:val="24"/>
        </w:rPr>
        <w:t>using R&amp;D for real earnings management</w:t>
      </w:r>
      <w:r w:rsidR="00177A23" w:rsidRPr="00BC79D7">
        <w:rPr>
          <w:rFonts w:ascii="Times New Roman" w:hAnsi="Times New Roman" w:cs="Times New Roman"/>
          <w:sz w:val="24"/>
          <w:szCs w:val="24"/>
        </w:rPr>
        <w:t xml:space="preserve"> is concentrated among myopic investors. </w:t>
      </w:r>
      <w:r w:rsidR="002258F4">
        <w:rPr>
          <w:rFonts w:ascii="Times New Roman" w:hAnsi="Times New Roman" w:cs="Times New Roman"/>
          <w:sz w:val="24"/>
          <w:szCs w:val="24"/>
        </w:rPr>
        <w:t xml:space="preserve">Zhong (2018) </w:t>
      </w:r>
      <w:r w:rsidR="00086F42">
        <w:rPr>
          <w:rFonts w:ascii="Times New Roman" w:hAnsi="Times New Roman" w:cs="Times New Roman"/>
          <w:sz w:val="24"/>
          <w:szCs w:val="24"/>
        </w:rPr>
        <w:t>shows that increased transparency of R&amp;D activities increases innovative efficiency.</w:t>
      </w:r>
      <w:r w:rsidR="002258F4">
        <w:rPr>
          <w:rFonts w:ascii="Times New Roman" w:hAnsi="Times New Roman" w:cs="Times New Roman"/>
          <w:sz w:val="24"/>
          <w:szCs w:val="24"/>
        </w:rPr>
        <w:t xml:space="preserve"> </w:t>
      </w:r>
      <w:r w:rsidR="00BC79D7" w:rsidRPr="00BC79D7">
        <w:rPr>
          <w:rFonts w:ascii="Times New Roman" w:hAnsi="Times New Roman" w:cs="Times New Roman"/>
          <w:sz w:val="24"/>
          <w:szCs w:val="24"/>
        </w:rPr>
        <w:t xml:space="preserve">Our </w:t>
      </w:r>
      <w:r w:rsidR="00BC79D7">
        <w:rPr>
          <w:rFonts w:ascii="Times New Roman" w:hAnsi="Times New Roman" w:cs="Times New Roman"/>
          <w:sz w:val="24"/>
          <w:szCs w:val="24"/>
        </w:rPr>
        <w:t xml:space="preserve">research differs from these </w:t>
      </w:r>
      <w:r w:rsidR="00BC79D7" w:rsidRPr="00BC79D7">
        <w:rPr>
          <w:rFonts w:ascii="Times New Roman" w:hAnsi="Times New Roman" w:cs="Times New Roman"/>
          <w:sz w:val="24"/>
          <w:szCs w:val="24"/>
        </w:rPr>
        <w:t>papers</w:t>
      </w:r>
      <w:r w:rsidR="00BC79D7">
        <w:rPr>
          <w:rFonts w:ascii="Times New Roman" w:hAnsi="Times New Roman" w:cs="Times New Roman"/>
          <w:sz w:val="24"/>
          <w:szCs w:val="24"/>
        </w:rPr>
        <w:t>, since w</w:t>
      </w:r>
      <w:r w:rsidR="00BC79D7" w:rsidRPr="00BC79D7">
        <w:rPr>
          <w:rFonts w:ascii="Times New Roman" w:hAnsi="Times New Roman" w:cs="Times New Roman"/>
          <w:sz w:val="24"/>
          <w:szCs w:val="24"/>
        </w:rPr>
        <w:t xml:space="preserve">e examine </w:t>
      </w:r>
      <w:r w:rsidR="00F772F5">
        <w:rPr>
          <w:rFonts w:ascii="Times New Roman" w:hAnsi="Times New Roman" w:cs="Times New Roman"/>
          <w:sz w:val="24"/>
          <w:szCs w:val="24"/>
        </w:rPr>
        <w:t>firms’ response to a change in accounting regulations, rather than their behavior within a given regime</w:t>
      </w:r>
      <w:r w:rsidR="0007114F">
        <w:rPr>
          <w:rFonts w:ascii="Times New Roman" w:hAnsi="Times New Roman" w:cs="Times New Roman"/>
          <w:sz w:val="24"/>
          <w:szCs w:val="24"/>
        </w:rPr>
        <w:t>.</w:t>
      </w:r>
    </w:p>
    <w:p w14:paraId="2DE8D098" w14:textId="656BE19A" w:rsidR="009A044A" w:rsidRDefault="009A044A" w:rsidP="00E757AB">
      <w:pPr>
        <w:spacing w:after="0" w:line="480" w:lineRule="auto"/>
        <w:ind w:firstLine="567"/>
        <w:jc w:val="both"/>
        <w:rPr>
          <w:rFonts w:ascii="Times New Roman" w:hAnsi="Times New Roman" w:cs="Times New Roman"/>
          <w:sz w:val="24"/>
          <w:szCs w:val="24"/>
        </w:rPr>
      </w:pPr>
      <w:r w:rsidRPr="00BC79D7">
        <w:rPr>
          <w:rFonts w:ascii="Times New Roman" w:hAnsi="Times New Roman" w:cs="Times New Roman"/>
          <w:sz w:val="24"/>
          <w:szCs w:val="24"/>
        </w:rPr>
        <w:t>The</w:t>
      </w:r>
      <w:r>
        <w:rPr>
          <w:rFonts w:ascii="Times New Roman" w:hAnsi="Times New Roman" w:cs="Times New Roman"/>
          <w:sz w:val="24"/>
          <w:szCs w:val="24"/>
        </w:rPr>
        <w:t xml:space="preserve"> UK’s switch to IFRS, requiring the capitalization of development costs, provides the opportunity to revisit the important questions</w:t>
      </w:r>
      <w:r w:rsidR="006B10DF">
        <w:rPr>
          <w:rFonts w:ascii="Times New Roman" w:hAnsi="Times New Roman" w:cs="Times New Roman"/>
          <w:sz w:val="24"/>
          <w:szCs w:val="24"/>
        </w:rPr>
        <w:t xml:space="preserve"> from previous decades</w:t>
      </w:r>
      <w:r>
        <w:rPr>
          <w:rFonts w:ascii="Times New Roman" w:hAnsi="Times New Roman" w:cs="Times New Roman"/>
          <w:sz w:val="24"/>
          <w:szCs w:val="24"/>
        </w:rPr>
        <w:t>, in a major capital market</w:t>
      </w:r>
      <w:r w:rsidR="007C054B">
        <w:rPr>
          <w:rFonts w:ascii="Times New Roman" w:hAnsi="Times New Roman" w:cs="Times New Roman"/>
          <w:sz w:val="24"/>
          <w:szCs w:val="24"/>
        </w:rPr>
        <w:t xml:space="preserve"> with a</w:t>
      </w:r>
      <w:r w:rsidR="00444AD8">
        <w:rPr>
          <w:rFonts w:ascii="Times New Roman" w:hAnsi="Times New Roman" w:cs="Times New Roman"/>
          <w:sz w:val="24"/>
          <w:szCs w:val="24"/>
        </w:rPr>
        <w:t xml:space="preserve"> </w:t>
      </w:r>
      <w:r w:rsidR="007C054B">
        <w:rPr>
          <w:rFonts w:ascii="Times New Roman" w:hAnsi="Times New Roman" w:cs="Times New Roman"/>
          <w:sz w:val="24"/>
          <w:szCs w:val="24"/>
        </w:rPr>
        <w:t>larger sample</w:t>
      </w:r>
      <w:r>
        <w:rPr>
          <w:rFonts w:ascii="Times New Roman" w:hAnsi="Times New Roman" w:cs="Times New Roman"/>
          <w:sz w:val="24"/>
          <w:szCs w:val="24"/>
        </w:rPr>
        <w:t xml:space="preserve"> </w:t>
      </w:r>
      <w:r w:rsidR="00444AD8">
        <w:rPr>
          <w:rFonts w:ascii="Times New Roman" w:hAnsi="Times New Roman" w:cs="Times New Roman"/>
          <w:sz w:val="24"/>
          <w:szCs w:val="24"/>
        </w:rPr>
        <w:t xml:space="preserve">and updated research design (such as better controls, entropy balancing, and parallel trends, discussed below) </w:t>
      </w:r>
      <w:r>
        <w:rPr>
          <w:rFonts w:ascii="Times New Roman" w:hAnsi="Times New Roman" w:cs="Times New Roman"/>
          <w:sz w:val="24"/>
          <w:szCs w:val="24"/>
        </w:rPr>
        <w:t xml:space="preserve">such that the results may be generalizable. </w:t>
      </w:r>
    </w:p>
    <w:p w14:paraId="0855C08B" w14:textId="0C24D0B7" w:rsidR="00B11B7B" w:rsidRDefault="00B11B7B" w:rsidP="00BC79D7">
      <w:pPr>
        <w:spacing w:after="0" w:line="480" w:lineRule="auto"/>
        <w:ind w:firstLine="567"/>
        <w:rPr>
          <w:rFonts w:ascii="Times New Roman" w:hAnsi="Times New Roman" w:cs="Times New Roman"/>
          <w:sz w:val="24"/>
          <w:szCs w:val="24"/>
        </w:rPr>
      </w:pPr>
    </w:p>
    <w:p w14:paraId="5D5C055B" w14:textId="5125D897" w:rsidR="00DF2E72" w:rsidRPr="00171051" w:rsidRDefault="00DF2E72" w:rsidP="00171051">
      <w:pPr>
        <w:pStyle w:val="ListParagraph"/>
        <w:numPr>
          <w:ilvl w:val="0"/>
          <w:numId w:val="1"/>
        </w:numPr>
        <w:tabs>
          <w:tab w:val="left" w:pos="360"/>
        </w:tabs>
        <w:spacing w:after="0" w:line="480" w:lineRule="auto"/>
        <w:ind w:left="0" w:firstLine="0"/>
        <w:rPr>
          <w:rFonts w:ascii="Times New Roman" w:hAnsi="Times New Roman" w:cs="Times New Roman"/>
          <w:b/>
          <w:sz w:val="24"/>
          <w:szCs w:val="24"/>
        </w:rPr>
      </w:pPr>
      <w:r w:rsidRPr="00171051">
        <w:rPr>
          <w:rFonts w:ascii="Times New Roman" w:hAnsi="Times New Roman" w:cs="Times New Roman"/>
          <w:b/>
          <w:sz w:val="24"/>
          <w:szCs w:val="24"/>
        </w:rPr>
        <w:t xml:space="preserve">Hypotheses and </w:t>
      </w:r>
      <w:r w:rsidR="003D5C4B" w:rsidRPr="00171051">
        <w:rPr>
          <w:rFonts w:ascii="Times New Roman" w:hAnsi="Times New Roman" w:cs="Times New Roman"/>
          <w:b/>
          <w:sz w:val="24"/>
          <w:szCs w:val="24"/>
        </w:rPr>
        <w:t>T</w:t>
      </w:r>
      <w:r w:rsidRPr="00171051">
        <w:rPr>
          <w:rFonts w:ascii="Times New Roman" w:hAnsi="Times New Roman" w:cs="Times New Roman"/>
          <w:b/>
          <w:sz w:val="24"/>
          <w:szCs w:val="24"/>
        </w:rPr>
        <w:t>ests</w:t>
      </w:r>
    </w:p>
    <w:p w14:paraId="05B9F170" w14:textId="04DCCA60" w:rsidR="00DF2E72" w:rsidRDefault="00DF2E72" w:rsidP="00E757AB">
      <w:pPr>
        <w:spacing w:after="0" w:line="48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To examine the effect of the </w:t>
      </w:r>
      <w:r w:rsidR="007802DE">
        <w:rPr>
          <w:rFonts w:ascii="Times New Roman" w:hAnsi="Times New Roman" w:cs="Times New Roman"/>
          <w:sz w:val="24"/>
          <w:szCs w:val="24"/>
        </w:rPr>
        <w:t>UK</w:t>
      </w:r>
      <w:r>
        <w:rPr>
          <w:rFonts w:ascii="Times New Roman" w:hAnsi="Times New Roman" w:cs="Times New Roman"/>
          <w:sz w:val="24"/>
          <w:szCs w:val="24"/>
        </w:rPr>
        <w:t xml:space="preserve">’s switch to </w:t>
      </w:r>
      <w:r w:rsidR="00D504DA">
        <w:rPr>
          <w:rFonts w:ascii="Times New Roman" w:hAnsi="Times New Roman" w:cs="Times New Roman"/>
          <w:sz w:val="24"/>
          <w:szCs w:val="24"/>
        </w:rPr>
        <w:t xml:space="preserve">IFRS </w:t>
      </w:r>
      <w:r>
        <w:rPr>
          <w:rFonts w:ascii="Times New Roman" w:hAnsi="Times New Roman" w:cs="Times New Roman"/>
          <w:sz w:val="24"/>
          <w:szCs w:val="24"/>
        </w:rPr>
        <w:t xml:space="preserve">on the amount of firms’ R&amp;D expenditures, </w:t>
      </w:r>
      <w:r w:rsidR="0034109E">
        <w:rPr>
          <w:rFonts w:ascii="Times New Roman" w:hAnsi="Times New Roman" w:cs="Times New Roman"/>
          <w:sz w:val="24"/>
          <w:szCs w:val="24"/>
        </w:rPr>
        <w:t>we estimate the following model</w:t>
      </w:r>
      <w:r>
        <w:rPr>
          <w:rFonts w:ascii="Times New Roman" w:hAnsi="Times New Roman" w:cs="Times New Roman"/>
          <w:sz w:val="24"/>
          <w:szCs w:val="24"/>
        </w:rPr>
        <w:t>:</w:t>
      </w:r>
    </w:p>
    <w:p w14:paraId="49B311F2" w14:textId="77777777" w:rsidR="007E0B43" w:rsidRDefault="007E0B43" w:rsidP="0012154E">
      <w:pPr>
        <w:tabs>
          <w:tab w:val="left" w:pos="720"/>
        </w:tabs>
        <w:spacing w:after="0" w:line="240" w:lineRule="auto"/>
        <w:contextualSpacing/>
        <w:rPr>
          <w:rFonts w:ascii="Times New Roman" w:hAnsi="Times New Roman" w:cs="Times New Roman"/>
          <w:sz w:val="24"/>
          <w:szCs w:val="24"/>
        </w:rPr>
      </w:pPr>
    </w:p>
    <w:p w14:paraId="098E5FB2" w14:textId="3C59ABE2" w:rsidR="0012154E" w:rsidRDefault="004815F7" w:rsidP="0012154E">
      <w:pPr>
        <w:tabs>
          <w:tab w:val="left" w:pos="72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12154E" w:rsidRPr="00C11785">
        <w:rPr>
          <w:rFonts w:ascii="Times New Roman" w:hAnsi="Times New Roman" w:cs="Times New Roman"/>
          <w:sz w:val="24"/>
          <w:szCs w:val="24"/>
        </w:rPr>
        <w:t>R&amp;D</w:t>
      </w:r>
      <w:r w:rsidR="0012154E">
        <w:rPr>
          <w:rFonts w:ascii="Times New Roman" w:hAnsi="Times New Roman" w:cs="Times New Roman"/>
          <w:sz w:val="24"/>
          <w:szCs w:val="24"/>
        </w:rPr>
        <w:t xml:space="preserve"> Growth = </w:t>
      </w:r>
      <w:r w:rsidR="005C4678">
        <w:rPr>
          <w:rFonts w:ascii="Symbol" w:hAnsi="Symbol" w:cs="Times New Roman"/>
          <w:sz w:val="24"/>
          <w:szCs w:val="24"/>
        </w:rPr>
        <w:t></w:t>
      </w:r>
      <w:r w:rsidR="0012154E" w:rsidRPr="00DF2E72">
        <w:rPr>
          <w:rFonts w:ascii="Times New Roman" w:hAnsi="Times New Roman" w:cs="Times New Roman"/>
          <w:sz w:val="24"/>
          <w:szCs w:val="24"/>
          <w:vertAlign w:val="subscript"/>
        </w:rPr>
        <w:t xml:space="preserve">0 </w:t>
      </w:r>
      <w:r w:rsidR="0012154E">
        <w:rPr>
          <w:rFonts w:ascii="Times New Roman" w:hAnsi="Times New Roman" w:cs="Times New Roman"/>
          <w:sz w:val="24"/>
          <w:szCs w:val="24"/>
        </w:rPr>
        <w:t>+ ∑</w:t>
      </w:r>
      <w:r w:rsidR="0012154E" w:rsidRPr="0012154E">
        <w:rPr>
          <w:rFonts w:ascii="Times New Roman" w:hAnsi="Times New Roman" w:cs="Times New Roman"/>
          <w:sz w:val="24"/>
          <w:szCs w:val="24"/>
          <w:vertAlign w:val="subscript"/>
        </w:rPr>
        <w:t xml:space="preserve">t </w:t>
      </w:r>
      <w:r w:rsidR="0012154E">
        <w:rPr>
          <w:rFonts w:ascii="Symbol" w:hAnsi="Symbol" w:cs="Times New Roman"/>
          <w:sz w:val="24"/>
          <w:szCs w:val="24"/>
        </w:rPr>
        <w:t></w:t>
      </w:r>
      <w:r w:rsidR="0012154E" w:rsidRPr="0012154E">
        <w:rPr>
          <w:rFonts w:ascii="Times New Roman" w:hAnsi="Times New Roman" w:cs="Times New Roman"/>
          <w:sz w:val="24"/>
          <w:szCs w:val="24"/>
          <w:vertAlign w:val="subscript"/>
        </w:rPr>
        <w:t>t</w:t>
      </w:r>
      <w:r w:rsidR="0012154E">
        <w:rPr>
          <w:rFonts w:ascii="Times New Roman" w:hAnsi="Times New Roman" w:cs="Times New Roman"/>
          <w:sz w:val="24"/>
          <w:szCs w:val="24"/>
        </w:rPr>
        <w:t>SWITCH*IFRS</w:t>
      </w:r>
      <w:r w:rsidR="0012154E" w:rsidRPr="0012154E">
        <w:rPr>
          <w:rFonts w:ascii="Times New Roman" w:hAnsi="Times New Roman" w:cs="Times New Roman"/>
          <w:sz w:val="24"/>
          <w:szCs w:val="24"/>
          <w:vertAlign w:val="subscript"/>
        </w:rPr>
        <w:t xml:space="preserve">t </w:t>
      </w:r>
      <w:r w:rsidR="0012154E">
        <w:rPr>
          <w:rFonts w:ascii="Times New Roman" w:hAnsi="Times New Roman" w:cs="Times New Roman"/>
          <w:sz w:val="24"/>
          <w:szCs w:val="24"/>
        </w:rPr>
        <w:t>+ ∑</w:t>
      </w:r>
      <w:r w:rsidR="0012154E" w:rsidRPr="0012154E">
        <w:rPr>
          <w:rFonts w:ascii="Times New Roman" w:hAnsi="Times New Roman" w:cs="Times New Roman"/>
          <w:sz w:val="24"/>
          <w:szCs w:val="24"/>
          <w:vertAlign w:val="subscript"/>
        </w:rPr>
        <w:t>i</w:t>
      </w:r>
      <w:r w:rsidR="001D089C">
        <w:rPr>
          <w:rFonts w:ascii="Symbol" w:hAnsi="Symbol" w:cs="Times New Roman"/>
          <w:sz w:val="24"/>
          <w:szCs w:val="24"/>
        </w:rPr>
        <w:sym w:font="Symbol" w:char="F046"/>
      </w:r>
      <w:r w:rsidR="0012154E">
        <w:rPr>
          <w:rFonts w:ascii="Times New Roman" w:hAnsi="Times New Roman" w:cs="Times New Roman"/>
          <w:sz w:val="24"/>
          <w:szCs w:val="24"/>
          <w:vertAlign w:val="subscript"/>
        </w:rPr>
        <w:t>i</w:t>
      </w:r>
      <w:r w:rsidR="0012154E">
        <w:rPr>
          <w:rFonts w:ascii="Times New Roman" w:hAnsi="Times New Roman" w:cs="Times New Roman"/>
          <w:sz w:val="24"/>
          <w:szCs w:val="24"/>
        </w:rPr>
        <w:t>Control</w:t>
      </w:r>
      <w:r w:rsidR="0012154E" w:rsidRPr="0012154E">
        <w:rPr>
          <w:rFonts w:ascii="Times New Roman" w:hAnsi="Times New Roman" w:cs="Times New Roman"/>
          <w:sz w:val="24"/>
          <w:szCs w:val="24"/>
          <w:vertAlign w:val="subscript"/>
        </w:rPr>
        <w:t xml:space="preserve">i </w:t>
      </w:r>
    </w:p>
    <w:p w14:paraId="35F9E4F0" w14:textId="1E351D22" w:rsidR="0012154E" w:rsidRDefault="0012154E" w:rsidP="0012154E">
      <w:pPr>
        <w:tabs>
          <w:tab w:val="left" w:pos="426"/>
          <w:tab w:val="left" w:pos="234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firm fixed effects + year fixed effects + </w:t>
      </w:r>
      <w:r w:rsidRPr="005C4678">
        <w:rPr>
          <w:rFonts w:ascii="Symbol" w:hAnsi="Symbol"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(1)</w:t>
      </w:r>
    </w:p>
    <w:p w14:paraId="29E677CB" w14:textId="77777777" w:rsidR="0012154E" w:rsidRDefault="0012154E" w:rsidP="00985B47">
      <w:pPr>
        <w:spacing w:after="0" w:line="480" w:lineRule="auto"/>
        <w:ind w:firstLine="567"/>
        <w:contextualSpacing/>
        <w:rPr>
          <w:rFonts w:ascii="Times New Roman" w:hAnsi="Times New Roman" w:cs="Times New Roman"/>
          <w:sz w:val="24"/>
          <w:szCs w:val="24"/>
        </w:rPr>
      </w:pPr>
    </w:p>
    <w:p w14:paraId="2485CCE8" w14:textId="1C9A1E90" w:rsidR="00F67D90" w:rsidRDefault="00E876BE" w:rsidP="00E757A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2796C">
        <w:rPr>
          <w:rFonts w:ascii="Times New Roman" w:hAnsi="Times New Roman" w:cs="Times New Roman"/>
          <w:sz w:val="24"/>
          <w:szCs w:val="24"/>
        </w:rPr>
        <w:tab/>
      </w:r>
      <w:r w:rsidR="008B2515">
        <w:rPr>
          <w:rFonts w:ascii="Times New Roman" w:hAnsi="Times New Roman" w:cs="Times New Roman"/>
          <w:sz w:val="24"/>
          <w:szCs w:val="24"/>
        </w:rPr>
        <w:t xml:space="preserve">R&amp;D </w:t>
      </w:r>
      <w:r w:rsidR="00103C06">
        <w:rPr>
          <w:rFonts w:ascii="Times New Roman" w:hAnsi="Times New Roman" w:cs="Times New Roman"/>
          <w:sz w:val="24"/>
          <w:szCs w:val="24"/>
        </w:rPr>
        <w:t>Growth is</w:t>
      </w:r>
      <w:r w:rsidR="00DF2E72">
        <w:rPr>
          <w:rFonts w:ascii="Times New Roman" w:hAnsi="Times New Roman" w:cs="Times New Roman"/>
          <w:sz w:val="24"/>
          <w:szCs w:val="24"/>
        </w:rPr>
        <w:t xml:space="preserve"> a measure of </w:t>
      </w:r>
      <w:r w:rsidR="001D089C">
        <w:rPr>
          <w:rFonts w:ascii="Times New Roman" w:hAnsi="Times New Roman" w:cs="Times New Roman"/>
          <w:sz w:val="24"/>
          <w:szCs w:val="24"/>
        </w:rPr>
        <w:t xml:space="preserve">firm-year </w:t>
      </w:r>
      <w:r w:rsidR="00DF2E72">
        <w:rPr>
          <w:rFonts w:ascii="Times New Roman" w:hAnsi="Times New Roman" w:cs="Times New Roman"/>
          <w:sz w:val="24"/>
          <w:szCs w:val="24"/>
        </w:rPr>
        <w:t>R&amp;D expenditure</w:t>
      </w:r>
      <w:r w:rsidR="00103C06">
        <w:rPr>
          <w:rFonts w:ascii="Times New Roman" w:hAnsi="Times New Roman" w:cs="Times New Roman"/>
          <w:sz w:val="24"/>
          <w:szCs w:val="24"/>
        </w:rPr>
        <w:t xml:space="preserve"> </w:t>
      </w:r>
      <w:r w:rsidR="00005F55">
        <w:rPr>
          <w:rFonts w:ascii="Times New Roman" w:hAnsi="Times New Roman" w:cs="Times New Roman"/>
          <w:sz w:val="24"/>
          <w:szCs w:val="24"/>
        </w:rPr>
        <w:t xml:space="preserve">growth </w:t>
      </w:r>
      <w:r w:rsidR="00103C06">
        <w:rPr>
          <w:rFonts w:ascii="Times New Roman" w:hAnsi="Times New Roman" w:cs="Times New Roman"/>
          <w:sz w:val="24"/>
          <w:szCs w:val="24"/>
        </w:rPr>
        <w:t xml:space="preserve">(see below for a discussion as to how we measure </w:t>
      </w:r>
      <w:r w:rsidR="00FC7F23">
        <w:rPr>
          <w:rFonts w:ascii="Times New Roman" w:hAnsi="Times New Roman" w:cs="Times New Roman"/>
          <w:sz w:val="24"/>
          <w:szCs w:val="24"/>
        </w:rPr>
        <w:t>the</w:t>
      </w:r>
      <w:r w:rsidR="00103C06">
        <w:rPr>
          <w:rFonts w:ascii="Times New Roman" w:hAnsi="Times New Roman" w:cs="Times New Roman"/>
          <w:sz w:val="24"/>
          <w:szCs w:val="24"/>
        </w:rPr>
        <w:t xml:space="preserve"> dependent variable). </w:t>
      </w:r>
      <w:r w:rsidR="00447441">
        <w:rPr>
          <w:rFonts w:ascii="Times New Roman" w:hAnsi="Times New Roman" w:cs="Times New Roman"/>
          <w:sz w:val="24"/>
          <w:szCs w:val="24"/>
        </w:rPr>
        <w:t xml:space="preserve"> </w:t>
      </w:r>
      <w:r w:rsidR="0012154E">
        <w:rPr>
          <w:rFonts w:ascii="Times New Roman" w:hAnsi="Times New Roman" w:cs="Times New Roman"/>
          <w:sz w:val="24"/>
          <w:szCs w:val="24"/>
        </w:rPr>
        <w:t>IFRS</w:t>
      </w:r>
      <w:r w:rsidR="0012154E" w:rsidRPr="001D089C">
        <w:rPr>
          <w:rFonts w:ascii="Times New Roman" w:hAnsi="Times New Roman" w:cs="Times New Roman"/>
          <w:sz w:val="24"/>
          <w:szCs w:val="24"/>
          <w:vertAlign w:val="subscript"/>
        </w:rPr>
        <w:t>t</w:t>
      </w:r>
      <w:r w:rsidR="0012154E">
        <w:rPr>
          <w:rFonts w:ascii="Times New Roman" w:hAnsi="Times New Roman" w:cs="Times New Roman"/>
          <w:sz w:val="24"/>
          <w:szCs w:val="24"/>
        </w:rPr>
        <w:t xml:space="preserve"> are a sequence of </w:t>
      </w:r>
      <w:r w:rsidR="00112CDE">
        <w:rPr>
          <w:rFonts w:ascii="Times New Roman" w:hAnsi="Times New Roman" w:cs="Times New Roman"/>
          <w:sz w:val="24"/>
          <w:szCs w:val="24"/>
        </w:rPr>
        <w:t>indicator</w:t>
      </w:r>
      <w:r w:rsidR="00DF2E72">
        <w:rPr>
          <w:rFonts w:ascii="Times New Roman" w:hAnsi="Times New Roman" w:cs="Times New Roman"/>
          <w:sz w:val="24"/>
          <w:szCs w:val="24"/>
        </w:rPr>
        <w:t xml:space="preserve"> variable</w:t>
      </w:r>
      <w:r w:rsidR="0012154E">
        <w:rPr>
          <w:rFonts w:ascii="Times New Roman" w:hAnsi="Times New Roman" w:cs="Times New Roman"/>
          <w:sz w:val="24"/>
          <w:szCs w:val="24"/>
        </w:rPr>
        <w:t>s</w:t>
      </w:r>
      <w:r w:rsidR="00DF2E72">
        <w:rPr>
          <w:rFonts w:ascii="Times New Roman" w:hAnsi="Times New Roman" w:cs="Times New Roman"/>
          <w:sz w:val="24"/>
          <w:szCs w:val="24"/>
        </w:rPr>
        <w:t xml:space="preserve"> that </w:t>
      </w:r>
      <w:r w:rsidR="0012154E">
        <w:rPr>
          <w:rFonts w:ascii="Times New Roman" w:hAnsi="Times New Roman" w:cs="Times New Roman"/>
          <w:sz w:val="24"/>
          <w:szCs w:val="24"/>
        </w:rPr>
        <w:t xml:space="preserve">each </w:t>
      </w:r>
      <w:r w:rsidR="00DF2E72">
        <w:rPr>
          <w:rFonts w:ascii="Times New Roman" w:hAnsi="Times New Roman" w:cs="Times New Roman"/>
          <w:sz w:val="24"/>
          <w:szCs w:val="24"/>
        </w:rPr>
        <w:t xml:space="preserve">equals 1 in the </w:t>
      </w:r>
      <w:r w:rsidR="0012154E">
        <w:rPr>
          <w:rFonts w:ascii="Times New Roman" w:hAnsi="Times New Roman" w:cs="Times New Roman"/>
          <w:sz w:val="24"/>
          <w:szCs w:val="24"/>
        </w:rPr>
        <w:t xml:space="preserve">year t relative to </w:t>
      </w:r>
      <w:r w:rsidR="00DF2E72">
        <w:rPr>
          <w:rFonts w:ascii="Times New Roman" w:hAnsi="Times New Roman" w:cs="Times New Roman"/>
          <w:sz w:val="24"/>
          <w:szCs w:val="24"/>
        </w:rPr>
        <w:t xml:space="preserve">IFRS period (2005 and beyond) and 0 </w:t>
      </w:r>
      <w:r w:rsidR="00D2525B">
        <w:rPr>
          <w:rFonts w:ascii="Times New Roman" w:hAnsi="Times New Roman" w:cs="Times New Roman"/>
          <w:sz w:val="24"/>
          <w:szCs w:val="24"/>
        </w:rPr>
        <w:t>otherwise, where t runs from -</w:t>
      </w:r>
      <w:r w:rsidR="00210645">
        <w:rPr>
          <w:rFonts w:ascii="Times New Roman" w:hAnsi="Times New Roman" w:cs="Times New Roman"/>
          <w:sz w:val="24"/>
          <w:szCs w:val="24"/>
        </w:rPr>
        <w:t>4</w:t>
      </w:r>
      <w:r w:rsidR="00D2525B">
        <w:rPr>
          <w:rFonts w:ascii="Times New Roman" w:hAnsi="Times New Roman" w:cs="Times New Roman"/>
          <w:sz w:val="24"/>
          <w:szCs w:val="24"/>
        </w:rPr>
        <w:t xml:space="preserve"> to +3</w:t>
      </w:r>
      <w:r w:rsidR="0012154E">
        <w:rPr>
          <w:rFonts w:ascii="Times New Roman" w:hAnsi="Times New Roman" w:cs="Times New Roman"/>
          <w:sz w:val="24"/>
          <w:szCs w:val="24"/>
        </w:rPr>
        <w:t xml:space="preserve"> (i.e., 4 years </w:t>
      </w:r>
      <w:r w:rsidR="00D2525B">
        <w:rPr>
          <w:rFonts w:ascii="Times New Roman" w:hAnsi="Times New Roman" w:cs="Times New Roman"/>
          <w:sz w:val="24"/>
          <w:szCs w:val="24"/>
        </w:rPr>
        <w:t>before thr</w:t>
      </w:r>
      <w:r w:rsidR="00210645">
        <w:rPr>
          <w:rFonts w:ascii="Times New Roman" w:hAnsi="Times New Roman" w:cs="Times New Roman"/>
          <w:sz w:val="24"/>
          <w:szCs w:val="24"/>
        </w:rPr>
        <w:t>o</w:t>
      </w:r>
      <w:r w:rsidR="00D2525B">
        <w:rPr>
          <w:rFonts w:ascii="Times New Roman" w:hAnsi="Times New Roman" w:cs="Times New Roman"/>
          <w:sz w:val="24"/>
          <w:szCs w:val="24"/>
        </w:rPr>
        <w:t>u</w:t>
      </w:r>
      <w:r w:rsidR="00210645">
        <w:rPr>
          <w:rFonts w:ascii="Times New Roman" w:hAnsi="Times New Roman" w:cs="Times New Roman"/>
          <w:sz w:val="24"/>
          <w:szCs w:val="24"/>
        </w:rPr>
        <w:t>gh</w:t>
      </w:r>
      <w:r w:rsidR="00D2525B">
        <w:rPr>
          <w:rFonts w:ascii="Times New Roman" w:hAnsi="Times New Roman" w:cs="Times New Roman"/>
          <w:sz w:val="24"/>
          <w:szCs w:val="24"/>
        </w:rPr>
        <w:t xml:space="preserve"> 3</w:t>
      </w:r>
      <w:r w:rsidR="00005F55">
        <w:rPr>
          <w:rFonts w:ascii="Times New Roman" w:hAnsi="Times New Roman" w:cs="Times New Roman"/>
          <w:sz w:val="24"/>
          <w:szCs w:val="24"/>
        </w:rPr>
        <w:t xml:space="preserve"> years after</w:t>
      </w:r>
      <w:r w:rsidR="0012154E">
        <w:rPr>
          <w:rFonts w:ascii="Times New Roman" w:hAnsi="Times New Roman" w:cs="Times New Roman"/>
          <w:sz w:val="24"/>
          <w:szCs w:val="24"/>
        </w:rPr>
        <w:t xml:space="preserve"> IFRS adoption)</w:t>
      </w:r>
      <w:r w:rsidR="0040250C">
        <w:rPr>
          <w:rFonts w:ascii="Times New Roman" w:hAnsi="Times New Roman" w:cs="Times New Roman"/>
          <w:sz w:val="24"/>
          <w:szCs w:val="24"/>
        </w:rPr>
        <w:t>;</w:t>
      </w:r>
      <w:r w:rsidR="00997F88">
        <w:rPr>
          <w:rFonts w:ascii="Times New Roman" w:hAnsi="Times New Roman" w:cs="Times New Roman"/>
          <w:sz w:val="24"/>
          <w:szCs w:val="24"/>
        </w:rPr>
        <w:t xml:space="preserve"> </w:t>
      </w:r>
      <w:r w:rsidR="00AA5F43">
        <w:rPr>
          <w:rFonts w:ascii="Times New Roman" w:hAnsi="Times New Roman"/>
          <w:sz w:val="24"/>
          <w:szCs w:val="24"/>
        </w:rPr>
        <w:t xml:space="preserve">SWITCH is an indicator variable that equals 1 for switchers (firms that switched from </w:t>
      </w:r>
      <w:r w:rsidR="00AA5F43">
        <w:rPr>
          <w:rFonts w:ascii="Times New Roman" w:hAnsi="Times New Roman" w:cs="Times New Roman"/>
          <w:sz w:val="24"/>
          <w:szCs w:val="24"/>
        </w:rPr>
        <w:t>expensing R&amp;D under UK GAAP to capitalizing R&amp;D under IFRS</w:t>
      </w:r>
      <w:r w:rsidR="00AA5F43">
        <w:rPr>
          <w:rFonts w:ascii="Times New Roman" w:hAnsi="Times New Roman"/>
          <w:sz w:val="24"/>
          <w:szCs w:val="24"/>
        </w:rPr>
        <w:t>), and 0 for capitalizers (firms that always capitalized under UK GAAP and IFRS</w:t>
      </w:r>
      <w:r w:rsidR="00AA5F43" w:rsidRPr="005137F2">
        <w:rPr>
          <w:rFonts w:ascii="Times New Roman" w:hAnsi="Times New Roman" w:cs="Times New Roman"/>
          <w:sz w:val="24"/>
          <w:szCs w:val="24"/>
        </w:rPr>
        <w:t>).</w:t>
      </w:r>
      <w:r w:rsidR="00D81E82">
        <w:rPr>
          <w:rFonts w:ascii="Times New Roman" w:hAnsi="Times New Roman" w:cs="Times New Roman"/>
          <w:sz w:val="24"/>
          <w:szCs w:val="24"/>
        </w:rPr>
        <w:t xml:space="preserve"> </w:t>
      </w:r>
      <w:r w:rsidR="00112CDE">
        <w:rPr>
          <w:rFonts w:ascii="Times New Roman" w:hAnsi="Times New Roman" w:cs="Times New Roman"/>
          <w:sz w:val="24"/>
          <w:szCs w:val="24"/>
        </w:rPr>
        <w:t xml:space="preserve">We include the natural logarithm of market value of equity (MVE), </w:t>
      </w:r>
      <w:r w:rsidR="00005F55">
        <w:rPr>
          <w:rFonts w:ascii="Times New Roman" w:hAnsi="Times New Roman" w:cs="Times New Roman"/>
          <w:sz w:val="24"/>
          <w:szCs w:val="24"/>
        </w:rPr>
        <w:t xml:space="preserve">TOBIN’s Q </w:t>
      </w:r>
      <w:r w:rsidR="00112CDE">
        <w:rPr>
          <w:rFonts w:ascii="Times New Roman" w:hAnsi="Times New Roman" w:cs="Times New Roman"/>
          <w:sz w:val="24"/>
          <w:szCs w:val="24"/>
        </w:rPr>
        <w:t>(</w:t>
      </w:r>
      <w:r w:rsidR="00A23DA1">
        <w:rPr>
          <w:rFonts w:ascii="Times New Roman" w:hAnsi="Times New Roman" w:cs="Times New Roman"/>
          <w:sz w:val="24"/>
          <w:szCs w:val="24"/>
        </w:rPr>
        <w:t xml:space="preserve">sum of </w:t>
      </w:r>
      <w:r w:rsidR="00112CDE">
        <w:rPr>
          <w:rFonts w:ascii="Times New Roman" w:hAnsi="Times New Roman" w:cs="Times New Roman"/>
          <w:sz w:val="24"/>
          <w:szCs w:val="24"/>
        </w:rPr>
        <w:t xml:space="preserve">market value of equity </w:t>
      </w:r>
      <w:r w:rsidR="00A23DA1">
        <w:rPr>
          <w:rFonts w:ascii="Times New Roman" w:hAnsi="Times New Roman" w:cs="Times New Roman"/>
          <w:sz w:val="24"/>
          <w:szCs w:val="24"/>
        </w:rPr>
        <w:t xml:space="preserve">and total debt, </w:t>
      </w:r>
      <w:r w:rsidR="00112CDE">
        <w:rPr>
          <w:rFonts w:ascii="Times New Roman" w:hAnsi="Times New Roman" w:cs="Times New Roman"/>
          <w:sz w:val="24"/>
          <w:szCs w:val="24"/>
        </w:rPr>
        <w:t xml:space="preserve">divided by </w:t>
      </w:r>
      <w:r w:rsidR="00A23DA1">
        <w:rPr>
          <w:rFonts w:ascii="Times New Roman" w:hAnsi="Times New Roman" w:cs="Times New Roman"/>
          <w:sz w:val="24"/>
          <w:szCs w:val="24"/>
        </w:rPr>
        <w:t xml:space="preserve">the sum of </w:t>
      </w:r>
      <w:r w:rsidR="00112CDE">
        <w:rPr>
          <w:rFonts w:ascii="Times New Roman" w:hAnsi="Times New Roman" w:cs="Times New Roman"/>
          <w:sz w:val="24"/>
          <w:szCs w:val="24"/>
        </w:rPr>
        <w:t xml:space="preserve">book value of equity </w:t>
      </w:r>
      <w:r w:rsidR="00A23DA1">
        <w:rPr>
          <w:rFonts w:ascii="Times New Roman" w:hAnsi="Times New Roman" w:cs="Times New Roman"/>
          <w:sz w:val="24"/>
          <w:szCs w:val="24"/>
        </w:rPr>
        <w:t>and total debt</w:t>
      </w:r>
      <w:r w:rsidR="00112CDE">
        <w:rPr>
          <w:rFonts w:ascii="Times New Roman" w:hAnsi="Times New Roman" w:cs="Times New Roman"/>
          <w:sz w:val="24"/>
          <w:szCs w:val="24"/>
        </w:rPr>
        <w:t>)</w:t>
      </w:r>
      <w:r w:rsidR="00005F55">
        <w:rPr>
          <w:rFonts w:ascii="Times New Roman" w:hAnsi="Times New Roman" w:cs="Times New Roman"/>
          <w:sz w:val="24"/>
          <w:szCs w:val="24"/>
        </w:rPr>
        <w:t xml:space="preserve">, Growth, Leverage, CFO, and </w:t>
      </w:r>
      <w:r w:rsidR="00B42458">
        <w:rPr>
          <w:rFonts w:ascii="Times New Roman" w:hAnsi="Times New Roman" w:cs="Times New Roman"/>
          <w:sz w:val="24"/>
          <w:szCs w:val="24"/>
        </w:rPr>
        <w:t>cash and cash equivalents (</w:t>
      </w:r>
      <w:r w:rsidR="00005F55">
        <w:rPr>
          <w:rFonts w:ascii="Times New Roman" w:hAnsi="Times New Roman" w:cs="Times New Roman"/>
          <w:sz w:val="24"/>
          <w:szCs w:val="24"/>
        </w:rPr>
        <w:t>CASHEQ</w:t>
      </w:r>
      <w:r w:rsidR="00B42458">
        <w:rPr>
          <w:rFonts w:ascii="Times New Roman" w:hAnsi="Times New Roman" w:cs="Times New Roman"/>
          <w:sz w:val="24"/>
          <w:szCs w:val="24"/>
        </w:rPr>
        <w:t>)</w:t>
      </w:r>
      <w:r w:rsidR="00005F55">
        <w:rPr>
          <w:rFonts w:ascii="Times New Roman" w:hAnsi="Times New Roman" w:cs="Times New Roman"/>
          <w:sz w:val="24"/>
          <w:szCs w:val="24"/>
        </w:rPr>
        <w:t>,</w:t>
      </w:r>
      <w:r w:rsidR="00112CDE">
        <w:rPr>
          <w:rFonts w:ascii="Times New Roman" w:hAnsi="Times New Roman" w:cs="Times New Roman"/>
          <w:sz w:val="24"/>
          <w:szCs w:val="24"/>
        </w:rPr>
        <w:t xml:space="preserve"> as control variables</w:t>
      </w:r>
      <w:r w:rsidR="00005F55">
        <w:rPr>
          <w:rFonts w:ascii="Times New Roman" w:hAnsi="Times New Roman" w:cs="Times New Roman"/>
          <w:sz w:val="24"/>
          <w:szCs w:val="24"/>
        </w:rPr>
        <w:t xml:space="preserve"> to capture factors that have been shown to affect R&amp;D expenditures (Shroff</w:t>
      </w:r>
      <w:r w:rsidR="00BA3708">
        <w:rPr>
          <w:rFonts w:ascii="Times New Roman" w:hAnsi="Times New Roman" w:cs="Times New Roman"/>
          <w:sz w:val="24"/>
          <w:szCs w:val="24"/>
        </w:rPr>
        <w:t>,</w:t>
      </w:r>
      <w:r w:rsidR="00005F55">
        <w:rPr>
          <w:rFonts w:ascii="Times New Roman" w:hAnsi="Times New Roman" w:cs="Times New Roman"/>
          <w:sz w:val="24"/>
          <w:szCs w:val="24"/>
        </w:rPr>
        <w:t xml:space="preserve"> 2017)</w:t>
      </w:r>
      <w:r w:rsidR="00112CDE">
        <w:rPr>
          <w:rFonts w:ascii="Times New Roman" w:hAnsi="Times New Roman" w:cs="Times New Roman"/>
          <w:sz w:val="24"/>
          <w:szCs w:val="24"/>
        </w:rPr>
        <w:t>. S</w:t>
      </w:r>
      <w:r w:rsidR="00A258B1">
        <w:rPr>
          <w:rFonts w:ascii="Times New Roman" w:hAnsi="Times New Roman" w:cs="Times New Roman"/>
          <w:sz w:val="24"/>
          <w:szCs w:val="24"/>
        </w:rPr>
        <w:t xml:space="preserve">tandard errors are clustered by </w:t>
      </w:r>
      <w:r w:rsidR="00F67D90">
        <w:rPr>
          <w:rFonts w:ascii="Times New Roman" w:hAnsi="Times New Roman" w:cs="Times New Roman"/>
          <w:sz w:val="24"/>
          <w:szCs w:val="24"/>
        </w:rPr>
        <w:t>firm.</w:t>
      </w:r>
      <w:r w:rsidR="00B6339D">
        <w:rPr>
          <w:rStyle w:val="FootnoteReference"/>
          <w:rFonts w:ascii="Times New Roman" w:hAnsi="Times New Roman" w:cs="Times New Roman"/>
          <w:sz w:val="24"/>
          <w:szCs w:val="24"/>
        </w:rPr>
        <w:footnoteReference w:id="4"/>
      </w:r>
      <w:r w:rsidR="005702B7">
        <w:rPr>
          <w:rFonts w:ascii="Times New Roman" w:hAnsi="Times New Roman" w:cs="Times New Roman"/>
          <w:sz w:val="24"/>
          <w:szCs w:val="24"/>
        </w:rPr>
        <w:t xml:space="preserve">   </w:t>
      </w:r>
    </w:p>
    <w:p w14:paraId="7C1BC65D" w14:textId="77A8D5D2" w:rsidR="005831B4" w:rsidRDefault="00B92D66" w:rsidP="00E757A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Our primary coefficient</w:t>
      </w:r>
      <w:r w:rsidR="001D089C">
        <w:rPr>
          <w:rFonts w:ascii="Times New Roman" w:hAnsi="Times New Roman" w:cs="Times New Roman"/>
          <w:sz w:val="24"/>
          <w:szCs w:val="24"/>
        </w:rPr>
        <w:t>s</w:t>
      </w:r>
      <w:r>
        <w:rPr>
          <w:rFonts w:ascii="Times New Roman" w:hAnsi="Times New Roman" w:cs="Times New Roman"/>
          <w:sz w:val="24"/>
          <w:szCs w:val="24"/>
        </w:rPr>
        <w:t xml:space="preserve"> of interest </w:t>
      </w:r>
      <w:r w:rsidR="00624B22">
        <w:rPr>
          <w:rFonts w:ascii="Times New Roman" w:hAnsi="Times New Roman" w:cs="Times New Roman"/>
          <w:sz w:val="24"/>
          <w:szCs w:val="24"/>
        </w:rPr>
        <w:t>are</w:t>
      </w:r>
      <w:r>
        <w:rPr>
          <w:rFonts w:ascii="Times New Roman" w:hAnsi="Times New Roman" w:cs="Times New Roman"/>
          <w:sz w:val="24"/>
          <w:szCs w:val="24"/>
        </w:rPr>
        <w:t xml:space="preserve"> </w:t>
      </w:r>
      <w:r w:rsidR="00112CDE">
        <w:rPr>
          <w:rFonts w:ascii="Symbol" w:hAnsi="Symbol" w:cs="Times New Roman"/>
          <w:sz w:val="24"/>
          <w:szCs w:val="24"/>
        </w:rPr>
        <w:t></w:t>
      </w:r>
      <w:r w:rsidR="00624B22">
        <w:rPr>
          <w:rFonts w:ascii="Times New Roman" w:hAnsi="Times New Roman" w:cs="Times New Roman"/>
          <w:sz w:val="24"/>
          <w:szCs w:val="24"/>
          <w:vertAlign w:val="subscript"/>
        </w:rPr>
        <w:t>t</w:t>
      </w:r>
      <w:r w:rsidR="00624B22" w:rsidRPr="00624B22">
        <w:rPr>
          <w:rFonts w:ascii="Times New Roman" w:hAnsi="Times New Roman" w:cs="Times New Roman"/>
          <w:sz w:val="24"/>
          <w:szCs w:val="24"/>
        </w:rPr>
        <w:t>,</w:t>
      </w:r>
      <w:r w:rsidR="00624B22">
        <w:rPr>
          <w:rFonts w:ascii="Times New Roman" w:hAnsi="Times New Roman" w:cs="Times New Roman"/>
          <w:sz w:val="24"/>
          <w:szCs w:val="24"/>
          <w:vertAlign w:val="subscript"/>
        </w:rPr>
        <w:t xml:space="preserve"> </w:t>
      </w:r>
      <w:r w:rsidR="00624B22">
        <w:rPr>
          <w:rFonts w:ascii="Times New Roman" w:hAnsi="Times New Roman" w:cs="Times New Roman"/>
          <w:sz w:val="24"/>
          <w:szCs w:val="24"/>
        </w:rPr>
        <w:t xml:space="preserve">which capture </w:t>
      </w:r>
      <w:r w:rsidR="009A74D4">
        <w:rPr>
          <w:rFonts w:ascii="Times New Roman" w:hAnsi="Times New Roman" w:cs="Times New Roman"/>
          <w:sz w:val="24"/>
          <w:szCs w:val="24"/>
        </w:rPr>
        <w:t xml:space="preserve">the </w:t>
      </w:r>
      <w:r w:rsidR="00624B22">
        <w:rPr>
          <w:rFonts w:ascii="Times New Roman" w:hAnsi="Times New Roman" w:cs="Times New Roman"/>
          <w:sz w:val="24"/>
          <w:szCs w:val="24"/>
        </w:rPr>
        <w:t xml:space="preserve">dynamic analysis. If </w:t>
      </w:r>
      <w:r w:rsidR="00A12BBD">
        <w:rPr>
          <w:rFonts w:ascii="Times New Roman" w:hAnsi="Times New Roman" w:cs="Times New Roman"/>
          <w:sz w:val="24"/>
          <w:szCs w:val="24"/>
        </w:rPr>
        <w:t>the pre-treatment coefficients, β</w:t>
      </w:r>
      <w:r w:rsidR="00D2525B">
        <w:rPr>
          <w:rFonts w:ascii="Times New Roman" w:hAnsi="Times New Roman" w:cs="Times New Roman"/>
          <w:sz w:val="24"/>
          <w:szCs w:val="24"/>
          <w:vertAlign w:val="subscript"/>
        </w:rPr>
        <w:t>-</w:t>
      </w:r>
      <w:r w:rsidR="004E75A1">
        <w:rPr>
          <w:rFonts w:ascii="Times New Roman" w:hAnsi="Times New Roman" w:cs="Times New Roman"/>
          <w:sz w:val="24"/>
          <w:szCs w:val="24"/>
          <w:vertAlign w:val="subscript"/>
        </w:rPr>
        <w:t>4</w:t>
      </w:r>
      <w:r w:rsidR="00A12BBD">
        <w:rPr>
          <w:rFonts w:ascii="Times New Roman" w:hAnsi="Times New Roman" w:cs="Times New Roman"/>
          <w:sz w:val="24"/>
          <w:szCs w:val="24"/>
        </w:rPr>
        <w:t xml:space="preserve"> thr</w:t>
      </w:r>
      <w:r w:rsidR="004E75A1">
        <w:rPr>
          <w:rFonts w:ascii="Times New Roman" w:hAnsi="Times New Roman" w:cs="Times New Roman"/>
          <w:sz w:val="24"/>
          <w:szCs w:val="24"/>
        </w:rPr>
        <w:t>o</w:t>
      </w:r>
      <w:r w:rsidR="00A12BBD">
        <w:rPr>
          <w:rFonts w:ascii="Times New Roman" w:hAnsi="Times New Roman" w:cs="Times New Roman"/>
          <w:sz w:val="24"/>
          <w:szCs w:val="24"/>
        </w:rPr>
        <w:t>u</w:t>
      </w:r>
      <w:r w:rsidR="004E75A1">
        <w:rPr>
          <w:rFonts w:ascii="Times New Roman" w:hAnsi="Times New Roman" w:cs="Times New Roman"/>
          <w:sz w:val="24"/>
          <w:szCs w:val="24"/>
        </w:rPr>
        <w:t>gh</w:t>
      </w:r>
      <w:r w:rsidR="00A12BBD">
        <w:rPr>
          <w:rFonts w:ascii="Times New Roman" w:hAnsi="Times New Roman" w:cs="Times New Roman"/>
          <w:sz w:val="24"/>
          <w:szCs w:val="24"/>
        </w:rPr>
        <w:t xml:space="preserve"> β</w:t>
      </w:r>
      <w:r w:rsidR="00A12BBD" w:rsidRPr="00A12BBD">
        <w:rPr>
          <w:rFonts w:ascii="Times New Roman" w:hAnsi="Times New Roman" w:cs="Times New Roman"/>
          <w:sz w:val="24"/>
          <w:szCs w:val="24"/>
          <w:vertAlign w:val="subscript"/>
        </w:rPr>
        <w:t>-1</w:t>
      </w:r>
      <w:r w:rsidR="00A12BBD">
        <w:rPr>
          <w:rFonts w:ascii="Times New Roman" w:hAnsi="Times New Roman" w:cs="Times New Roman"/>
          <w:sz w:val="24"/>
          <w:szCs w:val="24"/>
        </w:rPr>
        <w:t xml:space="preserve"> are zero, this implies that there is no difference in R&amp;D expenditure growth between capitalizers and switchers during the UK GAAP period, </w:t>
      </w:r>
      <w:r w:rsidR="0030075C">
        <w:rPr>
          <w:rFonts w:ascii="Times New Roman" w:hAnsi="Times New Roman" w:cs="Times New Roman"/>
          <w:sz w:val="24"/>
          <w:szCs w:val="24"/>
        </w:rPr>
        <w:t xml:space="preserve">providing </w:t>
      </w:r>
      <w:r w:rsidR="00770D31">
        <w:rPr>
          <w:rFonts w:ascii="Times New Roman" w:hAnsi="Times New Roman" w:cs="Times New Roman"/>
          <w:sz w:val="24"/>
          <w:szCs w:val="24"/>
        </w:rPr>
        <w:t>evidence that</w:t>
      </w:r>
      <w:r w:rsidR="00A12BBD">
        <w:rPr>
          <w:rFonts w:ascii="Times New Roman" w:hAnsi="Times New Roman" w:cs="Times New Roman"/>
          <w:sz w:val="24"/>
          <w:szCs w:val="24"/>
        </w:rPr>
        <w:t xml:space="preserve"> the parallel trends assumption</w:t>
      </w:r>
      <w:r w:rsidR="00770D31">
        <w:rPr>
          <w:rFonts w:ascii="Times New Roman" w:hAnsi="Times New Roman" w:cs="Times New Roman"/>
          <w:sz w:val="24"/>
          <w:szCs w:val="24"/>
        </w:rPr>
        <w:t xml:space="preserve"> is not violated</w:t>
      </w:r>
      <w:r w:rsidR="00A12BBD">
        <w:rPr>
          <w:rFonts w:ascii="Times New Roman" w:hAnsi="Times New Roman" w:cs="Times New Roman"/>
          <w:sz w:val="24"/>
          <w:szCs w:val="24"/>
        </w:rPr>
        <w:t>.</w:t>
      </w:r>
      <w:r w:rsidR="005A2A5B">
        <w:rPr>
          <w:rFonts w:ascii="Times New Roman" w:hAnsi="Times New Roman" w:cs="Times New Roman"/>
          <w:sz w:val="24"/>
          <w:szCs w:val="24"/>
        </w:rPr>
        <w:t xml:space="preserve"> </w:t>
      </w:r>
      <w:r w:rsidR="005831B4">
        <w:rPr>
          <w:rFonts w:ascii="Times New Roman" w:hAnsi="Times New Roman" w:cs="Times New Roman"/>
          <w:sz w:val="24"/>
          <w:szCs w:val="24"/>
        </w:rPr>
        <w:t xml:space="preserve">If </w:t>
      </w:r>
      <w:r w:rsidR="00D2525B">
        <w:rPr>
          <w:rFonts w:ascii="Times New Roman" w:hAnsi="Times New Roman" w:cs="Times New Roman"/>
          <w:sz w:val="24"/>
          <w:szCs w:val="24"/>
        </w:rPr>
        <w:t xml:space="preserve">any of </w:t>
      </w:r>
      <w:r w:rsidR="00A12BBD">
        <w:rPr>
          <w:rFonts w:ascii="Times New Roman" w:hAnsi="Times New Roman" w:cs="Times New Roman"/>
          <w:sz w:val="24"/>
          <w:szCs w:val="24"/>
        </w:rPr>
        <w:t>β</w:t>
      </w:r>
      <w:r w:rsidR="00A12BBD">
        <w:rPr>
          <w:rFonts w:ascii="Times New Roman" w:hAnsi="Times New Roman" w:cs="Times New Roman"/>
          <w:sz w:val="24"/>
          <w:szCs w:val="24"/>
          <w:vertAlign w:val="subscript"/>
        </w:rPr>
        <w:t>0</w:t>
      </w:r>
      <w:r w:rsidR="00A12BBD">
        <w:rPr>
          <w:rFonts w:ascii="Times New Roman" w:hAnsi="Times New Roman" w:cs="Times New Roman"/>
          <w:sz w:val="24"/>
          <w:szCs w:val="24"/>
        </w:rPr>
        <w:t xml:space="preserve"> thr</w:t>
      </w:r>
      <w:r w:rsidR="004E75A1">
        <w:rPr>
          <w:rFonts w:ascii="Times New Roman" w:hAnsi="Times New Roman" w:cs="Times New Roman"/>
          <w:sz w:val="24"/>
          <w:szCs w:val="24"/>
        </w:rPr>
        <w:t>o</w:t>
      </w:r>
      <w:r w:rsidR="00A12BBD">
        <w:rPr>
          <w:rFonts w:ascii="Times New Roman" w:hAnsi="Times New Roman" w:cs="Times New Roman"/>
          <w:sz w:val="24"/>
          <w:szCs w:val="24"/>
        </w:rPr>
        <w:t>u</w:t>
      </w:r>
      <w:r w:rsidR="004E75A1">
        <w:rPr>
          <w:rFonts w:ascii="Times New Roman" w:hAnsi="Times New Roman" w:cs="Times New Roman"/>
          <w:sz w:val="24"/>
          <w:szCs w:val="24"/>
        </w:rPr>
        <w:t>gh</w:t>
      </w:r>
      <w:r w:rsidR="00A12BBD">
        <w:rPr>
          <w:rFonts w:ascii="Times New Roman" w:hAnsi="Times New Roman" w:cs="Times New Roman"/>
          <w:sz w:val="24"/>
          <w:szCs w:val="24"/>
        </w:rPr>
        <w:t xml:space="preserve"> </w:t>
      </w:r>
      <w:r w:rsidR="00112CDE">
        <w:rPr>
          <w:rFonts w:ascii="Symbol" w:hAnsi="Symbol" w:cs="Times New Roman"/>
          <w:sz w:val="24"/>
          <w:szCs w:val="24"/>
        </w:rPr>
        <w:t></w:t>
      </w:r>
      <w:r w:rsidR="005831B4" w:rsidRPr="00CD64C9">
        <w:rPr>
          <w:rFonts w:ascii="Symbol" w:hAnsi="Symbol" w:cs="Times New Roman"/>
          <w:sz w:val="24"/>
          <w:szCs w:val="24"/>
          <w:vertAlign w:val="subscript"/>
        </w:rPr>
        <w:t></w:t>
      </w:r>
      <w:r w:rsidR="005831B4">
        <w:rPr>
          <w:rFonts w:ascii="Times New Roman" w:hAnsi="Times New Roman" w:cs="Times New Roman"/>
          <w:sz w:val="24"/>
          <w:szCs w:val="24"/>
          <w:vertAlign w:val="subscript"/>
        </w:rPr>
        <w:t xml:space="preserve"> </w:t>
      </w:r>
      <w:r w:rsidR="00A12BBD">
        <w:rPr>
          <w:rFonts w:ascii="Times New Roman" w:hAnsi="Times New Roman" w:cs="Times New Roman"/>
          <w:sz w:val="24"/>
          <w:szCs w:val="24"/>
        </w:rPr>
        <w:t xml:space="preserve">are </w:t>
      </w:r>
      <w:r w:rsidR="005831B4">
        <w:rPr>
          <w:rFonts w:ascii="Times New Roman" w:hAnsi="Times New Roman" w:cs="Times New Roman"/>
          <w:sz w:val="24"/>
          <w:szCs w:val="24"/>
        </w:rPr>
        <w:t>non-zero, then capitalization vs expensing has an effect on firms’ R&amp;D expenditures, since the change from UK GAAP to IFRS affected ca</w:t>
      </w:r>
      <w:r w:rsidR="0040250C">
        <w:rPr>
          <w:rFonts w:ascii="Times New Roman" w:hAnsi="Times New Roman" w:cs="Times New Roman"/>
          <w:sz w:val="24"/>
          <w:szCs w:val="24"/>
        </w:rPr>
        <w:t xml:space="preserve">pitalizers differently than it </w:t>
      </w:r>
      <w:r w:rsidR="005831B4">
        <w:rPr>
          <w:rFonts w:ascii="Times New Roman" w:hAnsi="Times New Roman" w:cs="Times New Roman"/>
          <w:sz w:val="24"/>
          <w:szCs w:val="24"/>
        </w:rPr>
        <w:t>affected expensers.</w:t>
      </w:r>
      <w:r w:rsidR="005C511C">
        <w:rPr>
          <w:rFonts w:ascii="Times New Roman" w:hAnsi="Times New Roman" w:cs="Times New Roman"/>
          <w:sz w:val="24"/>
          <w:szCs w:val="24"/>
        </w:rPr>
        <w:t xml:space="preserve"> Since </w:t>
      </w:r>
      <w:r w:rsidR="00A50677">
        <w:rPr>
          <w:rFonts w:ascii="Times New Roman" w:hAnsi="Times New Roman" w:cs="Times New Roman"/>
          <w:sz w:val="24"/>
          <w:szCs w:val="24"/>
        </w:rPr>
        <w:t>the switch from UK GAAP to IFRS was known well in advance, we expect that switchers increased their R&amp;D expenditures in the first IFRS year (i.e., β</w:t>
      </w:r>
      <w:r w:rsidR="00A50677">
        <w:rPr>
          <w:rFonts w:ascii="Times New Roman" w:hAnsi="Times New Roman" w:cs="Times New Roman"/>
          <w:sz w:val="24"/>
          <w:szCs w:val="24"/>
          <w:vertAlign w:val="subscript"/>
        </w:rPr>
        <w:t>0</w:t>
      </w:r>
      <w:r w:rsidR="00A50677">
        <w:rPr>
          <w:rFonts w:ascii="Times New Roman" w:hAnsi="Times New Roman" w:cs="Times New Roman"/>
          <w:sz w:val="24"/>
          <w:szCs w:val="24"/>
        </w:rPr>
        <w:t xml:space="preserve"> &gt; 0), but not necessarily after the new, higher level is reached (i.e., β</w:t>
      </w:r>
      <w:r w:rsidR="00A50677">
        <w:rPr>
          <w:rFonts w:ascii="Times New Roman" w:hAnsi="Times New Roman" w:cs="Times New Roman"/>
          <w:sz w:val="24"/>
          <w:szCs w:val="24"/>
          <w:vertAlign w:val="subscript"/>
        </w:rPr>
        <w:t>t</w:t>
      </w:r>
      <w:r w:rsidR="00A50677">
        <w:rPr>
          <w:rFonts w:ascii="Times New Roman" w:hAnsi="Times New Roman" w:cs="Times New Roman"/>
          <w:sz w:val="24"/>
          <w:szCs w:val="24"/>
        </w:rPr>
        <w:t xml:space="preserve"> = 0, for t = 1, </w:t>
      </w:r>
      <w:r w:rsidR="004E75A1">
        <w:rPr>
          <w:rFonts w:ascii="Times New Roman" w:hAnsi="Times New Roman" w:cs="Times New Roman"/>
          <w:sz w:val="24"/>
          <w:szCs w:val="24"/>
        </w:rPr>
        <w:t>3</w:t>
      </w:r>
      <w:r w:rsidR="00A50677">
        <w:rPr>
          <w:rFonts w:ascii="Times New Roman" w:hAnsi="Times New Roman" w:cs="Times New Roman"/>
          <w:sz w:val="24"/>
          <w:szCs w:val="24"/>
        </w:rPr>
        <w:t>). However, firms may not have completely ratcheted up their expenditures immediately, so there may be a</w:t>
      </w:r>
      <w:r w:rsidR="007E7305">
        <w:rPr>
          <w:rFonts w:ascii="Times New Roman" w:hAnsi="Times New Roman" w:cs="Times New Roman"/>
          <w:sz w:val="24"/>
          <w:szCs w:val="24"/>
        </w:rPr>
        <w:t xml:space="preserve"> delayed </w:t>
      </w:r>
      <w:r w:rsidR="00A50677">
        <w:rPr>
          <w:rFonts w:ascii="Times New Roman" w:hAnsi="Times New Roman" w:cs="Times New Roman"/>
          <w:sz w:val="24"/>
          <w:szCs w:val="24"/>
        </w:rPr>
        <w:t xml:space="preserve">increase after the initial IRFS year </w:t>
      </w:r>
      <w:r w:rsidR="007E7305">
        <w:rPr>
          <w:rFonts w:ascii="Times New Roman" w:hAnsi="Times New Roman" w:cs="Times New Roman"/>
          <w:sz w:val="24"/>
          <w:szCs w:val="24"/>
        </w:rPr>
        <w:t xml:space="preserve">as well </w:t>
      </w:r>
      <w:r w:rsidR="00A50677">
        <w:rPr>
          <w:rFonts w:ascii="Times New Roman" w:hAnsi="Times New Roman" w:cs="Times New Roman"/>
          <w:sz w:val="24"/>
          <w:szCs w:val="24"/>
        </w:rPr>
        <w:t>(i.e., β</w:t>
      </w:r>
      <w:r w:rsidR="00A50677">
        <w:rPr>
          <w:rFonts w:ascii="Times New Roman" w:hAnsi="Times New Roman" w:cs="Times New Roman"/>
          <w:sz w:val="24"/>
          <w:szCs w:val="24"/>
          <w:vertAlign w:val="subscript"/>
        </w:rPr>
        <w:t>t</w:t>
      </w:r>
      <w:r w:rsidR="00D2525B">
        <w:rPr>
          <w:rFonts w:ascii="Times New Roman" w:hAnsi="Times New Roman" w:cs="Times New Roman"/>
          <w:sz w:val="24"/>
          <w:szCs w:val="24"/>
        </w:rPr>
        <w:t xml:space="preserve"> &gt; 0, for t = 1, 3</w:t>
      </w:r>
      <w:r w:rsidR="00A50677">
        <w:rPr>
          <w:rFonts w:ascii="Times New Roman" w:hAnsi="Times New Roman" w:cs="Times New Roman"/>
          <w:sz w:val="24"/>
          <w:szCs w:val="24"/>
        </w:rPr>
        <w:t xml:space="preserve">). </w:t>
      </w:r>
      <w:r w:rsidR="005831B4">
        <w:rPr>
          <w:rFonts w:ascii="Times New Roman" w:hAnsi="Times New Roman" w:cs="Times New Roman"/>
          <w:sz w:val="24"/>
          <w:szCs w:val="24"/>
        </w:rPr>
        <w:t xml:space="preserve"> </w:t>
      </w:r>
      <w:r w:rsidR="005A2A5B">
        <w:rPr>
          <w:rFonts w:ascii="Times New Roman" w:hAnsi="Times New Roman" w:cs="Times New Roman"/>
          <w:sz w:val="24"/>
          <w:szCs w:val="24"/>
        </w:rPr>
        <w:t xml:space="preserve"> Thus, we state our hypothes</w:t>
      </w:r>
      <w:r w:rsidR="00467A2B">
        <w:rPr>
          <w:rFonts w:ascii="Times New Roman" w:hAnsi="Times New Roman" w:cs="Times New Roman"/>
          <w:sz w:val="24"/>
          <w:szCs w:val="24"/>
        </w:rPr>
        <w:t>i</w:t>
      </w:r>
      <w:r w:rsidR="005A2A5B">
        <w:rPr>
          <w:rFonts w:ascii="Times New Roman" w:hAnsi="Times New Roman" w:cs="Times New Roman"/>
          <w:sz w:val="24"/>
          <w:szCs w:val="24"/>
        </w:rPr>
        <w:t>s in null form.</w:t>
      </w:r>
    </w:p>
    <w:p w14:paraId="1F306AD0" w14:textId="1F836FD2" w:rsidR="004D0224" w:rsidRDefault="00232D06" w:rsidP="00232D06">
      <w:pPr>
        <w:tabs>
          <w:tab w:val="left" w:pos="540"/>
          <w:tab w:val="left" w:pos="1260"/>
        </w:tabs>
        <w:spacing w:after="0" w:line="240" w:lineRule="auto"/>
        <w:ind w:right="1280"/>
        <w:rPr>
          <w:rFonts w:ascii="Times New Roman" w:hAnsi="Times New Roman" w:cs="Times New Roman"/>
          <w:sz w:val="24"/>
          <w:szCs w:val="24"/>
        </w:rPr>
      </w:pPr>
      <w:r>
        <w:rPr>
          <w:rFonts w:ascii="Times New Roman" w:hAnsi="Times New Roman" w:cs="Times New Roman"/>
          <w:sz w:val="24"/>
          <w:szCs w:val="24"/>
        </w:rPr>
        <w:tab/>
      </w:r>
      <w:r w:rsidR="005A2A5B">
        <w:rPr>
          <w:rFonts w:ascii="Times New Roman" w:hAnsi="Times New Roman" w:cs="Times New Roman"/>
          <w:sz w:val="24"/>
          <w:szCs w:val="24"/>
        </w:rPr>
        <w:t xml:space="preserve">H1: </w:t>
      </w:r>
      <w:r>
        <w:rPr>
          <w:rFonts w:ascii="Times New Roman" w:hAnsi="Times New Roman" w:cs="Times New Roman"/>
          <w:sz w:val="24"/>
          <w:szCs w:val="24"/>
        </w:rPr>
        <w:tab/>
      </w:r>
      <w:r w:rsidR="005A2A5B">
        <w:rPr>
          <w:rFonts w:ascii="Times New Roman" w:hAnsi="Times New Roman" w:cs="Times New Roman"/>
          <w:sz w:val="24"/>
          <w:szCs w:val="24"/>
        </w:rPr>
        <w:t xml:space="preserve">The accounting method, capitalization vs expensing, has no effect on </w:t>
      </w:r>
      <w:r>
        <w:rPr>
          <w:rFonts w:ascii="Times New Roman" w:hAnsi="Times New Roman" w:cs="Times New Roman"/>
          <w:sz w:val="24"/>
          <w:szCs w:val="24"/>
        </w:rPr>
        <w:tab/>
      </w:r>
      <w:r>
        <w:rPr>
          <w:rFonts w:ascii="Times New Roman" w:hAnsi="Times New Roman" w:cs="Times New Roman"/>
          <w:sz w:val="24"/>
          <w:szCs w:val="24"/>
        </w:rPr>
        <w:tab/>
      </w:r>
      <w:r w:rsidR="005A2A5B">
        <w:rPr>
          <w:rFonts w:ascii="Times New Roman" w:hAnsi="Times New Roman" w:cs="Times New Roman"/>
          <w:sz w:val="24"/>
          <w:szCs w:val="24"/>
        </w:rPr>
        <w:t xml:space="preserve">the amount of firms’ R&amp;D expenditures; i.e., </w:t>
      </w:r>
      <w:r w:rsidR="00F41456">
        <w:rPr>
          <w:rFonts w:ascii="Symbol" w:hAnsi="Symbol" w:cs="Times New Roman"/>
          <w:sz w:val="24"/>
          <w:szCs w:val="24"/>
        </w:rPr>
        <w:t></w:t>
      </w:r>
      <w:r w:rsidR="00A50677">
        <w:rPr>
          <w:rFonts w:ascii="Times New Roman" w:hAnsi="Times New Roman" w:cs="Times New Roman"/>
          <w:sz w:val="24"/>
          <w:szCs w:val="24"/>
          <w:vertAlign w:val="subscript"/>
        </w:rPr>
        <w:t xml:space="preserve">t </w:t>
      </w:r>
      <w:r w:rsidR="005A2A5B">
        <w:rPr>
          <w:rFonts w:ascii="Times New Roman" w:hAnsi="Times New Roman" w:cs="Times New Roman"/>
          <w:sz w:val="24"/>
          <w:szCs w:val="24"/>
        </w:rPr>
        <w:t>= 0</w:t>
      </w:r>
      <w:r w:rsidR="00CF277C">
        <w:rPr>
          <w:rFonts w:ascii="Times New Roman" w:hAnsi="Times New Roman" w:cs="Times New Roman"/>
          <w:sz w:val="24"/>
          <w:szCs w:val="24"/>
        </w:rPr>
        <w:t xml:space="preserve">, t=0, </w:t>
      </w:r>
      <w:r w:rsidR="00D2525B">
        <w:rPr>
          <w:rFonts w:ascii="Times New Roman" w:hAnsi="Times New Roman" w:cs="Times New Roman"/>
          <w:sz w:val="24"/>
          <w:szCs w:val="24"/>
        </w:rPr>
        <w:t>3</w:t>
      </w:r>
      <w:r w:rsidR="005A2A5B">
        <w:rPr>
          <w:rFonts w:ascii="Times New Roman" w:hAnsi="Times New Roman" w:cs="Times New Roman"/>
          <w:sz w:val="24"/>
          <w:szCs w:val="24"/>
        </w:rPr>
        <w:t>.</w:t>
      </w:r>
    </w:p>
    <w:p w14:paraId="5057778B" w14:textId="77777777" w:rsidR="004D0224" w:rsidRDefault="004D0224" w:rsidP="00985B47">
      <w:pPr>
        <w:tabs>
          <w:tab w:val="left" w:pos="1134"/>
        </w:tabs>
        <w:spacing w:after="0" w:line="240" w:lineRule="auto"/>
        <w:rPr>
          <w:rFonts w:ascii="Times New Roman" w:hAnsi="Times New Roman" w:cs="Times New Roman"/>
          <w:sz w:val="24"/>
          <w:szCs w:val="24"/>
        </w:rPr>
      </w:pPr>
    </w:p>
    <w:p w14:paraId="591D14B8" w14:textId="2C3AC681" w:rsidR="00907194" w:rsidRDefault="00467A2B" w:rsidP="000A2F2A">
      <w:pPr>
        <w:tabs>
          <w:tab w:val="left" w:pos="1134"/>
        </w:tabs>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W</w:t>
      </w:r>
      <w:r w:rsidR="005A2A5B">
        <w:rPr>
          <w:rFonts w:ascii="Times New Roman" w:hAnsi="Times New Roman" w:cs="Times New Roman"/>
          <w:sz w:val="24"/>
          <w:szCs w:val="24"/>
        </w:rPr>
        <w:t xml:space="preserve">e test the null against the alternative </w:t>
      </w:r>
      <w:r w:rsidR="00F41456">
        <w:rPr>
          <w:rFonts w:ascii="Symbol" w:hAnsi="Symbol" w:cs="Times New Roman"/>
          <w:sz w:val="24"/>
          <w:szCs w:val="24"/>
        </w:rPr>
        <w:t></w:t>
      </w:r>
      <w:r w:rsidR="00CF277C">
        <w:rPr>
          <w:rFonts w:ascii="Times New Roman" w:hAnsi="Times New Roman" w:cs="Times New Roman"/>
          <w:sz w:val="24"/>
          <w:szCs w:val="24"/>
          <w:vertAlign w:val="subscript"/>
        </w:rPr>
        <w:t>t</w:t>
      </w:r>
      <w:r w:rsidR="005A2A5B">
        <w:rPr>
          <w:rFonts w:ascii="Times New Roman" w:hAnsi="Times New Roman" w:cs="Times New Roman"/>
          <w:sz w:val="24"/>
          <w:szCs w:val="24"/>
          <w:vertAlign w:val="subscript"/>
        </w:rPr>
        <w:t xml:space="preserve"> </w:t>
      </w:r>
      <w:r w:rsidR="005A2A5B">
        <w:rPr>
          <w:rFonts w:ascii="Times New Roman" w:hAnsi="Times New Roman" w:cs="Times New Roman"/>
          <w:sz w:val="24"/>
          <w:szCs w:val="24"/>
        </w:rPr>
        <w:t xml:space="preserve">≠ 0. </w:t>
      </w:r>
    </w:p>
    <w:p w14:paraId="1D25622D" w14:textId="1F6BCBF7" w:rsidR="00497A52" w:rsidRDefault="00497A52" w:rsidP="000A2F2A">
      <w:pPr>
        <w:tabs>
          <w:tab w:val="left" w:pos="360"/>
        </w:tabs>
        <w:spacing w:after="0" w:line="480" w:lineRule="auto"/>
        <w:contextualSpacing/>
        <w:outlineLvl w:val="0"/>
        <w:rPr>
          <w:rFonts w:ascii="Times New Roman" w:hAnsi="Times New Roman" w:cs="Times New Roman"/>
          <w:b/>
          <w:bCs/>
          <w:sz w:val="24"/>
          <w:szCs w:val="24"/>
        </w:rPr>
      </w:pPr>
    </w:p>
    <w:p w14:paraId="47F10B63" w14:textId="701885E3" w:rsidR="00755189" w:rsidRPr="00CF1A25" w:rsidRDefault="006316AC" w:rsidP="000A2F2A">
      <w:pPr>
        <w:tabs>
          <w:tab w:val="left" w:pos="360"/>
        </w:tabs>
        <w:spacing w:after="0" w:line="480" w:lineRule="auto"/>
        <w:contextualSpacing/>
        <w:outlineLvl w:val="0"/>
        <w:rPr>
          <w:rFonts w:ascii="Times New Roman" w:hAnsi="Times New Roman" w:cs="Times New Roman"/>
          <w:i/>
          <w:sz w:val="24"/>
          <w:szCs w:val="24"/>
        </w:rPr>
      </w:pPr>
      <w:r>
        <w:rPr>
          <w:rFonts w:ascii="Times New Roman" w:hAnsi="Times New Roman" w:cs="Times New Roman"/>
          <w:b/>
          <w:bCs/>
          <w:sz w:val="24"/>
          <w:szCs w:val="24"/>
        </w:rPr>
        <w:t>4</w:t>
      </w:r>
      <w:r w:rsidR="00CF1A25">
        <w:rPr>
          <w:rFonts w:ascii="Times New Roman" w:hAnsi="Times New Roman" w:cs="Times New Roman"/>
          <w:b/>
          <w:bCs/>
          <w:sz w:val="24"/>
          <w:szCs w:val="24"/>
        </w:rPr>
        <w:t>.</w:t>
      </w:r>
      <w:r w:rsidR="00F67D90" w:rsidRPr="00F67D90">
        <w:rPr>
          <w:rFonts w:ascii="Times New Roman" w:hAnsi="Times New Roman" w:cs="Times New Roman"/>
          <w:b/>
          <w:bCs/>
          <w:sz w:val="24"/>
          <w:szCs w:val="24"/>
        </w:rPr>
        <w:t xml:space="preserve"> </w:t>
      </w:r>
      <w:r w:rsidR="007D0B97">
        <w:rPr>
          <w:rFonts w:ascii="Times New Roman" w:hAnsi="Times New Roman" w:cs="Times New Roman"/>
          <w:b/>
          <w:bCs/>
          <w:sz w:val="24"/>
          <w:szCs w:val="24"/>
        </w:rPr>
        <w:tab/>
      </w:r>
      <w:r w:rsidR="00F67D90" w:rsidRPr="00F67D90">
        <w:rPr>
          <w:rFonts w:ascii="Times New Roman" w:hAnsi="Times New Roman" w:cs="Times New Roman"/>
          <w:b/>
          <w:bCs/>
          <w:sz w:val="24"/>
          <w:szCs w:val="24"/>
        </w:rPr>
        <w:t>Data and Sample</w:t>
      </w:r>
    </w:p>
    <w:p w14:paraId="0277F441" w14:textId="68A89BD6" w:rsidR="0028507D" w:rsidRPr="00F67D90" w:rsidRDefault="00F67D90" w:rsidP="00E757AB">
      <w:pPr>
        <w:spacing w:after="0" w:line="480" w:lineRule="auto"/>
        <w:ind w:firstLine="567"/>
        <w:jc w:val="both"/>
        <w:rPr>
          <w:rFonts w:ascii="Times New Roman" w:hAnsi="Times New Roman" w:cs="Times New Roman"/>
          <w:i/>
          <w:iCs/>
          <w:sz w:val="24"/>
          <w:szCs w:val="24"/>
          <w:lang w:val="en-GB"/>
        </w:rPr>
      </w:pPr>
      <w:r w:rsidRPr="00F67D90">
        <w:rPr>
          <w:rFonts w:ascii="Times New Roman" w:hAnsi="Times New Roman" w:cs="Times New Roman"/>
          <w:sz w:val="24"/>
          <w:szCs w:val="24"/>
        </w:rPr>
        <w:t xml:space="preserve">Our sample consists of </w:t>
      </w:r>
      <w:r w:rsidR="007802DE">
        <w:rPr>
          <w:rFonts w:ascii="Times New Roman" w:hAnsi="Times New Roman" w:cs="Times New Roman"/>
          <w:sz w:val="24"/>
          <w:szCs w:val="24"/>
        </w:rPr>
        <w:t>UK</w:t>
      </w:r>
      <w:r w:rsidRPr="00F67D90">
        <w:rPr>
          <w:rFonts w:ascii="Times New Roman" w:hAnsi="Times New Roman" w:cs="Times New Roman"/>
          <w:sz w:val="24"/>
          <w:szCs w:val="24"/>
        </w:rPr>
        <w:t xml:space="preserve"> firms, because prior to the adoption of IFRS, </w:t>
      </w:r>
      <w:r w:rsidR="007802DE">
        <w:rPr>
          <w:rFonts w:ascii="Times New Roman" w:hAnsi="Times New Roman" w:cs="Times New Roman"/>
          <w:sz w:val="24"/>
          <w:szCs w:val="24"/>
        </w:rPr>
        <w:t>UK</w:t>
      </w:r>
      <w:r w:rsidRPr="00F67D90">
        <w:rPr>
          <w:rFonts w:ascii="Times New Roman" w:hAnsi="Times New Roman" w:cs="Times New Roman"/>
          <w:sz w:val="24"/>
          <w:szCs w:val="24"/>
        </w:rPr>
        <w:t xml:space="preserve"> GAAP permitted, but did not require, the capitalization and subsequent amortization of development expenditures.</w:t>
      </w:r>
      <w:r w:rsidRPr="00F67D90">
        <w:rPr>
          <w:rStyle w:val="FootnoteReference"/>
          <w:rFonts w:ascii="Times New Roman" w:hAnsi="Times New Roman" w:cs="Times New Roman"/>
          <w:sz w:val="24"/>
          <w:szCs w:val="24"/>
        </w:rPr>
        <w:footnoteReference w:id="5"/>
      </w:r>
      <w:r w:rsidRPr="00F67D90">
        <w:rPr>
          <w:rStyle w:val="FootnoteReference"/>
          <w:rFonts w:ascii="Times New Roman" w:hAnsi="Times New Roman" w:cs="Times New Roman"/>
          <w:sz w:val="24"/>
          <w:szCs w:val="24"/>
        </w:rPr>
        <w:t xml:space="preserve"> </w:t>
      </w:r>
      <w:r w:rsidRPr="00F67D90">
        <w:rPr>
          <w:rFonts w:ascii="Times New Roman" w:hAnsi="Times New Roman" w:cs="Times New Roman"/>
          <w:sz w:val="24"/>
          <w:szCs w:val="24"/>
        </w:rPr>
        <w:t>However, with the adoption of IFRS in 2005, capitalization of development expenditures became mandatory</w:t>
      </w:r>
      <w:r w:rsidR="0028507D">
        <w:rPr>
          <w:rFonts w:ascii="Times New Roman" w:hAnsi="Times New Roman" w:cs="Times New Roman"/>
          <w:sz w:val="24"/>
          <w:szCs w:val="24"/>
        </w:rPr>
        <w:t xml:space="preserve">. Specifically, IAS 38 (para. 57) states that an intangible development asset shall be recognized if the </w:t>
      </w:r>
      <w:r w:rsidRPr="00F67D90">
        <w:rPr>
          <w:rFonts w:ascii="Times New Roman" w:hAnsi="Times New Roman" w:cs="Times New Roman"/>
          <w:sz w:val="24"/>
          <w:szCs w:val="24"/>
        </w:rPr>
        <w:t xml:space="preserve"> firm could demonstrate the following conditions: (</w:t>
      </w:r>
      <w:r w:rsidR="0028507D">
        <w:rPr>
          <w:rFonts w:ascii="Times New Roman" w:hAnsi="Times New Roman" w:cs="Times New Roman"/>
          <w:sz w:val="24"/>
          <w:szCs w:val="24"/>
        </w:rPr>
        <w:t>a</w:t>
      </w:r>
      <w:r w:rsidRPr="00F67D90">
        <w:rPr>
          <w:rFonts w:ascii="Times New Roman" w:hAnsi="Times New Roman" w:cs="Times New Roman"/>
          <w:sz w:val="24"/>
          <w:szCs w:val="24"/>
        </w:rPr>
        <w:t>) The technical feasibility of completing the intangible asset so that it will be available for the use or sale; (</w:t>
      </w:r>
      <w:r w:rsidR="0028507D">
        <w:rPr>
          <w:rFonts w:ascii="Times New Roman" w:hAnsi="Times New Roman" w:cs="Times New Roman"/>
          <w:sz w:val="24"/>
          <w:szCs w:val="24"/>
        </w:rPr>
        <w:t>b</w:t>
      </w:r>
      <w:r w:rsidRPr="00F67D90">
        <w:rPr>
          <w:rFonts w:ascii="Times New Roman" w:hAnsi="Times New Roman" w:cs="Times New Roman"/>
          <w:sz w:val="24"/>
          <w:szCs w:val="24"/>
        </w:rPr>
        <w:t>) its intention to complete the intangible asset and use or sell it; (</w:t>
      </w:r>
      <w:r w:rsidR="0028507D">
        <w:rPr>
          <w:rFonts w:ascii="Times New Roman" w:hAnsi="Times New Roman" w:cs="Times New Roman"/>
          <w:sz w:val="24"/>
          <w:szCs w:val="24"/>
        </w:rPr>
        <w:t>c</w:t>
      </w:r>
      <w:r w:rsidRPr="00F67D90">
        <w:rPr>
          <w:rFonts w:ascii="Times New Roman" w:hAnsi="Times New Roman" w:cs="Times New Roman"/>
          <w:sz w:val="24"/>
          <w:szCs w:val="24"/>
        </w:rPr>
        <w:t>) its ability to use or sell the intangible asset; (</w:t>
      </w:r>
      <w:r w:rsidR="0028507D">
        <w:rPr>
          <w:rFonts w:ascii="Times New Roman" w:hAnsi="Times New Roman" w:cs="Times New Roman"/>
          <w:sz w:val="24"/>
          <w:szCs w:val="24"/>
        </w:rPr>
        <w:t>d</w:t>
      </w:r>
      <w:r w:rsidRPr="00F67D90">
        <w:rPr>
          <w:rFonts w:ascii="Times New Roman" w:hAnsi="Times New Roman" w:cs="Times New Roman"/>
          <w:sz w:val="24"/>
          <w:szCs w:val="24"/>
        </w:rPr>
        <w:t>) how the intangible asset will generate probable future economic benefits; (</w:t>
      </w:r>
      <w:r w:rsidR="0028507D">
        <w:rPr>
          <w:rFonts w:ascii="Times New Roman" w:hAnsi="Times New Roman" w:cs="Times New Roman"/>
          <w:sz w:val="24"/>
          <w:szCs w:val="24"/>
        </w:rPr>
        <w:t>e</w:t>
      </w:r>
      <w:r w:rsidRPr="00F67D90">
        <w:rPr>
          <w:rFonts w:ascii="Times New Roman" w:hAnsi="Times New Roman" w:cs="Times New Roman"/>
          <w:sz w:val="24"/>
          <w:szCs w:val="24"/>
        </w:rPr>
        <w:t>) the availability of adequate technical, financial and other resources to complete the development and to use or sell the intangible asset; and (</w:t>
      </w:r>
      <w:r w:rsidR="0028507D">
        <w:rPr>
          <w:rFonts w:ascii="Times New Roman" w:hAnsi="Times New Roman" w:cs="Times New Roman"/>
          <w:sz w:val="24"/>
          <w:szCs w:val="24"/>
        </w:rPr>
        <w:t>f</w:t>
      </w:r>
      <w:r w:rsidRPr="00F67D90">
        <w:rPr>
          <w:rFonts w:ascii="Times New Roman" w:hAnsi="Times New Roman" w:cs="Times New Roman"/>
          <w:sz w:val="24"/>
          <w:szCs w:val="24"/>
        </w:rPr>
        <w:t xml:space="preserve">) its ability to measure reliably the expenditure attributable to the intangible asset during its development [International Accounting Standard (IAS) 38, </w:t>
      </w:r>
      <w:r w:rsidR="00AA0B15">
        <w:rPr>
          <w:rFonts w:ascii="Times New Roman" w:hAnsi="Times New Roman" w:cs="Times New Roman"/>
          <w:sz w:val="24"/>
          <w:szCs w:val="24"/>
        </w:rPr>
        <w:t>1998</w:t>
      </w:r>
      <w:r w:rsidRPr="00F67D90">
        <w:rPr>
          <w:rFonts w:ascii="Times New Roman" w:hAnsi="Times New Roman" w:cs="Times New Roman"/>
          <w:sz w:val="24"/>
          <w:szCs w:val="24"/>
        </w:rPr>
        <w:t xml:space="preserve">]. </w:t>
      </w:r>
      <w:r w:rsidR="0071689B" w:rsidRPr="00391AD2">
        <w:rPr>
          <w:rFonts w:ascii="Times New Roman" w:hAnsi="Times New Roman" w:cs="Times New Roman"/>
          <w:sz w:val="24"/>
          <w:szCs w:val="24"/>
        </w:rPr>
        <w:t>Since the capitalization criteria are essentially the same under both reporting regimes, a firm that could have capitalized under UK GAAP but chose not to, would be mandated to capitalize under IFRS</w:t>
      </w:r>
      <w:r w:rsidR="0071689B">
        <w:rPr>
          <w:rFonts w:ascii="Times New Roman" w:hAnsi="Times New Roman" w:cs="Times New Roman"/>
          <w:sz w:val="24"/>
          <w:szCs w:val="24"/>
        </w:rPr>
        <w:t xml:space="preserve">. </w:t>
      </w:r>
      <w:r w:rsidRPr="00F67D90">
        <w:rPr>
          <w:rFonts w:ascii="Times New Roman" w:hAnsi="Times New Roman" w:cs="Times New Roman"/>
          <w:sz w:val="24"/>
          <w:szCs w:val="24"/>
        </w:rPr>
        <w:t xml:space="preserve">Thus, by examining </w:t>
      </w:r>
      <w:r w:rsidR="007802DE">
        <w:rPr>
          <w:rFonts w:ascii="Times New Roman" w:hAnsi="Times New Roman" w:cs="Times New Roman"/>
          <w:sz w:val="24"/>
          <w:szCs w:val="24"/>
        </w:rPr>
        <w:t>UK</w:t>
      </w:r>
      <w:r w:rsidRPr="00F67D90">
        <w:rPr>
          <w:rFonts w:ascii="Times New Roman" w:hAnsi="Times New Roman" w:cs="Times New Roman"/>
          <w:sz w:val="24"/>
          <w:szCs w:val="24"/>
        </w:rPr>
        <w:t xml:space="preserve"> firms, we are able to compare the impact of manda</w:t>
      </w:r>
      <w:r w:rsidR="0034109E">
        <w:rPr>
          <w:rFonts w:ascii="Times New Roman" w:hAnsi="Times New Roman" w:cs="Times New Roman"/>
          <w:sz w:val="24"/>
          <w:szCs w:val="24"/>
        </w:rPr>
        <w:t>tory capitalization on firms that</w:t>
      </w:r>
      <w:r w:rsidRPr="00F67D90">
        <w:rPr>
          <w:rFonts w:ascii="Times New Roman" w:hAnsi="Times New Roman" w:cs="Times New Roman"/>
          <w:sz w:val="24"/>
          <w:szCs w:val="24"/>
        </w:rPr>
        <w:t xml:space="preserve"> expensed their R&amp;D under </w:t>
      </w:r>
      <w:r w:rsidR="007802DE">
        <w:rPr>
          <w:rFonts w:ascii="Times New Roman" w:hAnsi="Times New Roman" w:cs="Times New Roman"/>
          <w:sz w:val="24"/>
          <w:szCs w:val="24"/>
        </w:rPr>
        <w:t>UK</w:t>
      </w:r>
      <w:r w:rsidRPr="00F67D90">
        <w:rPr>
          <w:rFonts w:ascii="Times New Roman" w:hAnsi="Times New Roman" w:cs="Times New Roman"/>
          <w:sz w:val="24"/>
          <w:szCs w:val="24"/>
        </w:rPr>
        <w:t xml:space="preserve"> GAAP with those firms who capitalized their R&amp;D under </w:t>
      </w:r>
      <w:r w:rsidR="007802DE">
        <w:rPr>
          <w:rFonts w:ascii="Times New Roman" w:hAnsi="Times New Roman" w:cs="Times New Roman"/>
          <w:sz w:val="24"/>
          <w:szCs w:val="24"/>
        </w:rPr>
        <w:t>UK</w:t>
      </w:r>
      <w:r w:rsidRPr="00F67D90">
        <w:rPr>
          <w:rFonts w:ascii="Times New Roman" w:hAnsi="Times New Roman" w:cs="Times New Roman"/>
          <w:sz w:val="24"/>
          <w:szCs w:val="24"/>
        </w:rPr>
        <w:t xml:space="preserve"> GAAP.</w:t>
      </w:r>
      <w:r w:rsidR="00E82BC3">
        <w:rPr>
          <w:rStyle w:val="FootnoteReference"/>
          <w:rFonts w:ascii="Times New Roman" w:hAnsi="Times New Roman" w:cs="Times New Roman"/>
          <w:sz w:val="24"/>
          <w:szCs w:val="24"/>
        </w:rPr>
        <w:footnoteReference w:id="6"/>
      </w:r>
    </w:p>
    <w:p w14:paraId="295FE762" w14:textId="2D404F7D" w:rsidR="00F67D90" w:rsidRPr="00F67D90" w:rsidRDefault="0034109E" w:rsidP="00E757AB">
      <w:pPr>
        <w:spacing w:after="0" w:line="480" w:lineRule="auto"/>
        <w:ind w:firstLine="567"/>
        <w:jc w:val="both"/>
        <w:rPr>
          <w:rFonts w:ascii="Times New Roman" w:hAnsi="Times New Roman" w:cs="Times New Roman"/>
          <w:iCs/>
          <w:sz w:val="24"/>
          <w:szCs w:val="24"/>
        </w:rPr>
      </w:pPr>
      <w:r>
        <w:rPr>
          <w:rFonts w:ascii="Times New Roman" w:hAnsi="Times New Roman" w:cs="Times New Roman"/>
          <w:sz w:val="24"/>
          <w:szCs w:val="24"/>
        </w:rPr>
        <w:t>Table 1 shows the forma</w:t>
      </w:r>
      <w:r w:rsidR="00F67D90" w:rsidRPr="00F67D90">
        <w:rPr>
          <w:rFonts w:ascii="Times New Roman" w:hAnsi="Times New Roman" w:cs="Times New Roman"/>
          <w:sz w:val="24"/>
          <w:szCs w:val="24"/>
        </w:rPr>
        <w:t>tion of our sample. To construct our sample</w:t>
      </w:r>
      <w:r w:rsidR="009E274F">
        <w:rPr>
          <w:rFonts w:ascii="Times New Roman" w:hAnsi="Times New Roman" w:cs="Times New Roman"/>
          <w:sz w:val="24"/>
          <w:szCs w:val="24"/>
        </w:rPr>
        <w:t>,</w:t>
      </w:r>
      <w:r w:rsidR="00F67D90" w:rsidRPr="00F67D90">
        <w:rPr>
          <w:rFonts w:ascii="Times New Roman" w:hAnsi="Times New Roman" w:cs="Times New Roman"/>
          <w:sz w:val="24"/>
          <w:szCs w:val="24"/>
        </w:rPr>
        <w:t xml:space="preserve"> we first obtain from </w:t>
      </w:r>
      <w:r w:rsidR="00270B40">
        <w:rPr>
          <w:rFonts w:ascii="Times New Roman" w:hAnsi="Times New Roman" w:cs="Times New Roman"/>
          <w:sz w:val="24"/>
          <w:szCs w:val="24"/>
        </w:rPr>
        <w:t xml:space="preserve">Thomson Reuters </w:t>
      </w:r>
      <w:r w:rsidR="00F67D90" w:rsidRPr="00F67D90">
        <w:rPr>
          <w:rFonts w:ascii="Times New Roman" w:hAnsi="Times New Roman" w:cs="Times New Roman"/>
          <w:sz w:val="24"/>
          <w:szCs w:val="24"/>
        </w:rPr>
        <w:t xml:space="preserve">Datastream those firms that disclosed either an R&amp;D asset or </w:t>
      </w:r>
      <w:r w:rsidR="00431073">
        <w:rPr>
          <w:rFonts w:ascii="Times New Roman" w:hAnsi="Times New Roman" w:cs="Times New Roman"/>
          <w:sz w:val="24"/>
          <w:szCs w:val="24"/>
        </w:rPr>
        <w:t>R&amp;D expense in any year t = 200</w:t>
      </w:r>
      <w:r w:rsidR="00BF1141">
        <w:rPr>
          <w:rFonts w:ascii="Times New Roman" w:hAnsi="Times New Roman" w:cs="Times New Roman"/>
          <w:sz w:val="24"/>
          <w:szCs w:val="24"/>
        </w:rPr>
        <w:t>1</w:t>
      </w:r>
      <w:r w:rsidR="00F67D90" w:rsidRPr="00F67D90">
        <w:rPr>
          <w:rFonts w:ascii="Times New Roman" w:hAnsi="Times New Roman" w:cs="Times New Roman"/>
          <w:sz w:val="24"/>
          <w:szCs w:val="24"/>
        </w:rPr>
        <w:t xml:space="preserve"> - </w:t>
      </w:r>
      <w:r w:rsidR="00BF1141" w:rsidRPr="00F67D90">
        <w:rPr>
          <w:rFonts w:ascii="Times New Roman" w:hAnsi="Times New Roman" w:cs="Times New Roman"/>
          <w:sz w:val="24"/>
          <w:szCs w:val="24"/>
        </w:rPr>
        <w:t>201</w:t>
      </w:r>
      <w:r w:rsidR="00BF1141">
        <w:rPr>
          <w:rFonts w:ascii="Times New Roman" w:hAnsi="Times New Roman" w:cs="Times New Roman"/>
          <w:sz w:val="24"/>
          <w:szCs w:val="24"/>
        </w:rPr>
        <w:t>2</w:t>
      </w:r>
      <w:r w:rsidR="00F67D90" w:rsidRPr="00F67D90">
        <w:rPr>
          <w:rFonts w:ascii="Times New Roman" w:hAnsi="Times New Roman" w:cs="Times New Roman"/>
          <w:sz w:val="24"/>
          <w:szCs w:val="24"/>
        </w:rPr>
        <w:t>.</w:t>
      </w:r>
      <w:r w:rsidR="00F67D90" w:rsidRPr="00F67D90">
        <w:rPr>
          <w:rFonts w:ascii="Times New Roman" w:hAnsi="Times New Roman" w:cs="Times New Roman"/>
          <w:i/>
          <w:iCs/>
          <w:sz w:val="24"/>
          <w:szCs w:val="24"/>
        </w:rPr>
        <w:t xml:space="preserve"> </w:t>
      </w:r>
      <w:r w:rsidR="00F67D90" w:rsidRPr="00F67D90">
        <w:rPr>
          <w:rFonts w:ascii="Times New Roman" w:hAnsi="Times New Roman" w:cs="Times New Roman"/>
          <w:iCs/>
          <w:sz w:val="24"/>
          <w:szCs w:val="24"/>
        </w:rPr>
        <w:t>W</w:t>
      </w:r>
      <w:r w:rsidR="00431073">
        <w:rPr>
          <w:rFonts w:ascii="Times New Roman" w:hAnsi="Times New Roman" w:cs="Times New Roman"/>
          <w:sz w:val="24"/>
          <w:szCs w:val="24"/>
        </w:rPr>
        <w:t xml:space="preserve">e begin in </w:t>
      </w:r>
      <w:r w:rsidR="00BF1141">
        <w:rPr>
          <w:rFonts w:ascii="Times New Roman" w:hAnsi="Times New Roman" w:cs="Times New Roman"/>
          <w:sz w:val="24"/>
          <w:szCs w:val="24"/>
        </w:rPr>
        <w:t>2001</w:t>
      </w:r>
      <w:r w:rsidR="00BF1141" w:rsidRPr="00F67D90">
        <w:rPr>
          <w:rFonts w:ascii="Times New Roman" w:hAnsi="Times New Roman" w:cs="Times New Roman"/>
          <w:sz w:val="24"/>
          <w:szCs w:val="24"/>
        </w:rPr>
        <w:t xml:space="preserve"> </w:t>
      </w:r>
      <w:r w:rsidR="00F67D90" w:rsidRPr="00F67D90">
        <w:rPr>
          <w:rFonts w:ascii="Times New Roman" w:hAnsi="Times New Roman" w:cs="Times New Roman"/>
          <w:sz w:val="24"/>
          <w:szCs w:val="24"/>
        </w:rPr>
        <w:t xml:space="preserve">since 2005 was the first year of IFRS adoption and we use </w:t>
      </w:r>
      <w:r w:rsidR="00BF1141">
        <w:rPr>
          <w:rFonts w:ascii="Times New Roman" w:hAnsi="Times New Roman" w:cs="Times New Roman"/>
          <w:sz w:val="24"/>
          <w:szCs w:val="24"/>
        </w:rPr>
        <w:t>four</w:t>
      </w:r>
      <w:r w:rsidR="00BF1141" w:rsidRPr="00F67D90">
        <w:rPr>
          <w:rFonts w:ascii="Times New Roman" w:hAnsi="Times New Roman" w:cs="Times New Roman"/>
          <w:sz w:val="24"/>
          <w:szCs w:val="24"/>
        </w:rPr>
        <w:t xml:space="preserve"> </w:t>
      </w:r>
      <w:r w:rsidR="00F67D90" w:rsidRPr="00F67D90">
        <w:rPr>
          <w:rFonts w:ascii="Times New Roman" w:hAnsi="Times New Roman" w:cs="Times New Roman"/>
          <w:sz w:val="24"/>
          <w:szCs w:val="24"/>
        </w:rPr>
        <w:t xml:space="preserve">years of data under </w:t>
      </w:r>
      <w:r w:rsidR="007802DE">
        <w:rPr>
          <w:rFonts w:ascii="Times New Roman" w:hAnsi="Times New Roman" w:cs="Times New Roman"/>
          <w:sz w:val="24"/>
          <w:szCs w:val="24"/>
        </w:rPr>
        <w:t>UK</w:t>
      </w:r>
      <w:r w:rsidR="00F67D90" w:rsidRPr="00F67D90">
        <w:rPr>
          <w:rFonts w:ascii="Times New Roman" w:hAnsi="Times New Roman" w:cs="Times New Roman"/>
          <w:sz w:val="24"/>
          <w:szCs w:val="24"/>
        </w:rPr>
        <w:t xml:space="preserve"> GAAP. We finish in </w:t>
      </w:r>
      <w:r w:rsidR="00BF1141" w:rsidRPr="00F67D90">
        <w:rPr>
          <w:rFonts w:ascii="Times New Roman" w:hAnsi="Times New Roman" w:cs="Times New Roman"/>
          <w:sz w:val="24"/>
          <w:szCs w:val="24"/>
        </w:rPr>
        <w:t>201</w:t>
      </w:r>
      <w:r w:rsidR="00BF1141">
        <w:rPr>
          <w:rFonts w:ascii="Times New Roman" w:hAnsi="Times New Roman" w:cs="Times New Roman"/>
          <w:sz w:val="24"/>
          <w:szCs w:val="24"/>
        </w:rPr>
        <w:t>2</w:t>
      </w:r>
      <w:r w:rsidR="00BF1141" w:rsidRPr="00F67D90">
        <w:rPr>
          <w:rFonts w:ascii="Times New Roman" w:hAnsi="Times New Roman" w:cs="Times New Roman"/>
          <w:sz w:val="24"/>
          <w:szCs w:val="24"/>
        </w:rPr>
        <w:t xml:space="preserve"> </w:t>
      </w:r>
      <w:r w:rsidR="00F67D90" w:rsidRPr="00F67D90">
        <w:rPr>
          <w:rFonts w:ascii="Times New Roman" w:hAnsi="Times New Roman" w:cs="Times New Roman"/>
          <w:sz w:val="24"/>
          <w:szCs w:val="24"/>
        </w:rPr>
        <w:t xml:space="preserve">since 2009 is the last year of IFRS adoption in our R&amp;D firms and we require </w:t>
      </w:r>
      <w:r w:rsidR="00550236">
        <w:rPr>
          <w:rFonts w:ascii="Times New Roman" w:hAnsi="Times New Roman" w:cs="Times New Roman"/>
          <w:sz w:val="24"/>
          <w:szCs w:val="24"/>
        </w:rPr>
        <w:t>four</w:t>
      </w:r>
      <w:r w:rsidR="00F67D90" w:rsidRPr="00F67D90">
        <w:rPr>
          <w:rFonts w:ascii="Times New Roman" w:hAnsi="Times New Roman" w:cs="Times New Roman"/>
          <w:sz w:val="24"/>
          <w:szCs w:val="24"/>
        </w:rPr>
        <w:t xml:space="preserve"> years of data under IFRS.</w:t>
      </w:r>
      <w:r w:rsidR="006D3880">
        <w:rPr>
          <w:rStyle w:val="FootnoteReference"/>
          <w:rFonts w:ascii="Times New Roman" w:hAnsi="Times New Roman" w:cs="Times New Roman"/>
          <w:sz w:val="24"/>
          <w:szCs w:val="24"/>
        </w:rPr>
        <w:footnoteReference w:id="7"/>
      </w:r>
      <w:r w:rsidR="00F67D90" w:rsidRPr="00F67D90">
        <w:rPr>
          <w:rFonts w:ascii="Times New Roman" w:hAnsi="Times New Roman" w:cs="Times New Roman"/>
          <w:sz w:val="24"/>
          <w:szCs w:val="24"/>
        </w:rPr>
        <w:t xml:space="preserve"> </w:t>
      </w:r>
      <w:r w:rsidR="00F67D90" w:rsidRPr="00F67D90">
        <w:rPr>
          <w:rFonts w:ascii="Times New Roman" w:hAnsi="Times New Roman" w:cs="Times New Roman"/>
          <w:iCs/>
          <w:sz w:val="24"/>
          <w:szCs w:val="24"/>
        </w:rPr>
        <w:t>From this initial download of firm-year observations we examine the notes to the financial statements for all observations with a positive value of R&amp;D asset to ensure that the data relates to R&amp;D and to record the amount of R&amp;D capitalized and amortized in the period (firms with R&amp;D expense but without an R&amp;D asset are assumed to be expensers). This analysis provides us with</w:t>
      </w:r>
      <w:r w:rsidR="005632A3">
        <w:rPr>
          <w:rFonts w:ascii="Times New Roman" w:hAnsi="Times New Roman" w:cs="Times New Roman"/>
          <w:iCs/>
          <w:sz w:val="24"/>
          <w:szCs w:val="24"/>
        </w:rPr>
        <w:t xml:space="preserve"> 6,913</w:t>
      </w:r>
      <w:r w:rsidR="00431073">
        <w:rPr>
          <w:rFonts w:ascii="Times New Roman" w:hAnsi="Times New Roman" w:cs="Times New Roman"/>
          <w:iCs/>
          <w:sz w:val="24"/>
          <w:szCs w:val="24"/>
        </w:rPr>
        <w:t xml:space="preserve"> firm-year observations (1,0</w:t>
      </w:r>
      <w:r w:rsidR="005632A3">
        <w:rPr>
          <w:rFonts w:ascii="Times New Roman" w:hAnsi="Times New Roman" w:cs="Times New Roman"/>
          <w:iCs/>
          <w:sz w:val="24"/>
          <w:szCs w:val="24"/>
        </w:rPr>
        <w:t>72</w:t>
      </w:r>
      <w:r w:rsidR="00F67D90" w:rsidRPr="00F67D90">
        <w:rPr>
          <w:rFonts w:ascii="Times New Roman" w:hAnsi="Times New Roman" w:cs="Times New Roman"/>
          <w:iCs/>
          <w:sz w:val="24"/>
          <w:szCs w:val="24"/>
        </w:rPr>
        <w:t xml:space="preserve"> firms). </w:t>
      </w:r>
    </w:p>
    <w:p w14:paraId="5F3C63F4" w14:textId="64538C36" w:rsidR="00F67D90" w:rsidRPr="00F67D90" w:rsidRDefault="00F67D90" w:rsidP="00E757AB">
      <w:pPr>
        <w:spacing w:after="0" w:line="480" w:lineRule="auto"/>
        <w:ind w:firstLine="567"/>
        <w:jc w:val="both"/>
        <w:rPr>
          <w:rFonts w:ascii="Times New Roman" w:hAnsi="Times New Roman" w:cs="Times New Roman"/>
          <w:sz w:val="24"/>
          <w:szCs w:val="24"/>
        </w:rPr>
      </w:pPr>
      <w:r w:rsidRPr="00F67D90">
        <w:rPr>
          <w:rFonts w:ascii="Times New Roman" w:hAnsi="Times New Roman" w:cs="Times New Roman"/>
          <w:sz w:val="24"/>
          <w:szCs w:val="24"/>
        </w:rPr>
        <w:t>We then remove firms that do not have data in both accounting regime</w:t>
      </w:r>
      <w:r w:rsidR="00431073">
        <w:rPr>
          <w:rFonts w:ascii="Times New Roman" w:hAnsi="Times New Roman" w:cs="Times New Roman"/>
          <w:sz w:val="24"/>
          <w:szCs w:val="24"/>
        </w:rPr>
        <w:t xml:space="preserve">s. Specifically, we remove </w:t>
      </w:r>
      <w:r w:rsidR="005632A3">
        <w:rPr>
          <w:rFonts w:ascii="Times New Roman" w:hAnsi="Times New Roman" w:cs="Times New Roman"/>
          <w:sz w:val="24"/>
          <w:szCs w:val="24"/>
        </w:rPr>
        <w:t>1,026</w:t>
      </w:r>
      <w:r w:rsidR="00431073">
        <w:rPr>
          <w:rFonts w:ascii="Times New Roman" w:hAnsi="Times New Roman" w:cs="Times New Roman"/>
          <w:sz w:val="24"/>
          <w:szCs w:val="24"/>
        </w:rPr>
        <w:t xml:space="preserve"> firm-year observations (</w:t>
      </w:r>
      <w:r w:rsidR="005632A3">
        <w:rPr>
          <w:rFonts w:ascii="Times New Roman" w:hAnsi="Times New Roman" w:cs="Times New Roman"/>
          <w:sz w:val="24"/>
          <w:szCs w:val="24"/>
        </w:rPr>
        <w:t>326</w:t>
      </w:r>
      <w:r w:rsidRPr="00F67D90">
        <w:rPr>
          <w:rFonts w:ascii="Times New Roman" w:hAnsi="Times New Roman" w:cs="Times New Roman"/>
          <w:sz w:val="24"/>
          <w:szCs w:val="24"/>
        </w:rPr>
        <w:t xml:space="preserve"> firms) as they never adopted IFRS (i.e., they delisted before adoption of IFRS). We then remove</w:t>
      </w:r>
      <w:r w:rsidR="00431073">
        <w:rPr>
          <w:rFonts w:ascii="Times New Roman" w:hAnsi="Times New Roman" w:cs="Times New Roman"/>
          <w:sz w:val="24"/>
          <w:szCs w:val="24"/>
        </w:rPr>
        <w:t xml:space="preserve"> </w:t>
      </w:r>
      <w:r w:rsidR="005632A3">
        <w:rPr>
          <w:rFonts w:ascii="Times New Roman" w:hAnsi="Times New Roman" w:cs="Times New Roman"/>
          <w:sz w:val="24"/>
          <w:szCs w:val="24"/>
        </w:rPr>
        <w:t>989</w:t>
      </w:r>
      <w:r w:rsidR="00431073">
        <w:rPr>
          <w:rFonts w:ascii="Times New Roman" w:hAnsi="Times New Roman" w:cs="Times New Roman"/>
          <w:sz w:val="24"/>
          <w:szCs w:val="24"/>
        </w:rPr>
        <w:t xml:space="preserve"> firm-year observations (</w:t>
      </w:r>
      <w:r w:rsidR="005632A3">
        <w:rPr>
          <w:rFonts w:ascii="Times New Roman" w:hAnsi="Times New Roman" w:cs="Times New Roman"/>
          <w:sz w:val="24"/>
          <w:szCs w:val="24"/>
        </w:rPr>
        <w:t>215</w:t>
      </w:r>
      <w:r w:rsidRPr="00F67D90">
        <w:rPr>
          <w:rFonts w:ascii="Times New Roman" w:hAnsi="Times New Roman" w:cs="Times New Roman"/>
          <w:sz w:val="24"/>
          <w:szCs w:val="24"/>
        </w:rPr>
        <w:t xml:space="preserve"> firms) as they do not have any observations under UK GAAP (i.e., they did not exist prior to the adoption of IFRS).  </w:t>
      </w:r>
    </w:p>
    <w:p w14:paraId="2AD3812D" w14:textId="0FD41801" w:rsidR="00F67D90" w:rsidRPr="00F67D90" w:rsidRDefault="000F3F35" w:rsidP="00E757AB">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first step in creating our sample was to utilize the full sample of data over the maximum time-period to ensure we could obtain </w:t>
      </w:r>
      <w:r w:rsidR="00BF1141">
        <w:rPr>
          <w:rFonts w:ascii="Times New Roman" w:hAnsi="Times New Roman" w:cs="Times New Roman"/>
          <w:sz w:val="24"/>
          <w:szCs w:val="24"/>
        </w:rPr>
        <w:t xml:space="preserve">eight </w:t>
      </w:r>
      <w:r>
        <w:rPr>
          <w:rFonts w:ascii="Times New Roman" w:hAnsi="Times New Roman" w:cs="Times New Roman"/>
          <w:sz w:val="24"/>
          <w:szCs w:val="24"/>
        </w:rPr>
        <w:t xml:space="preserve">years of data per firm regardless of their IFRS adoption year. At this stage we identified the IFRS adoption year for the remaining firms and then deleted </w:t>
      </w:r>
      <w:r w:rsidR="005632A3">
        <w:rPr>
          <w:rFonts w:ascii="Times New Roman" w:hAnsi="Times New Roman" w:cs="Times New Roman"/>
          <w:sz w:val="24"/>
          <w:szCs w:val="24"/>
        </w:rPr>
        <w:t>1,279</w:t>
      </w:r>
      <w:r>
        <w:rPr>
          <w:rFonts w:ascii="Times New Roman" w:hAnsi="Times New Roman" w:cs="Times New Roman"/>
          <w:sz w:val="24"/>
          <w:szCs w:val="24"/>
        </w:rPr>
        <w:t xml:space="preserve"> firm-year observations outside of the </w:t>
      </w:r>
      <w:r w:rsidR="00252335">
        <w:rPr>
          <w:rFonts w:ascii="Times New Roman" w:hAnsi="Times New Roman" w:cs="Times New Roman"/>
          <w:sz w:val="24"/>
          <w:szCs w:val="24"/>
        </w:rPr>
        <w:t>eight</w:t>
      </w:r>
      <w:r>
        <w:rPr>
          <w:rFonts w:ascii="Times New Roman" w:hAnsi="Times New Roman" w:cs="Times New Roman"/>
          <w:sz w:val="24"/>
          <w:szCs w:val="24"/>
        </w:rPr>
        <w:t>-year window.</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w:t>
      </w:r>
      <w:r w:rsidR="00F67D90" w:rsidRPr="00F67D90">
        <w:rPr>
          <w:rFonts w:ascii="Times New Roman" w:hAnsi="Times New Roman" w:cs="Times New Roman"/>
          <w:sz w:val="24"/>
          <w:szCs w:val="24"/>
        </w:rPr>
        <w:t>For the remaining firms, we require that they have lagged</w:t>
      </w:r>
      <w:r w:rsidR="000D57E3">
        <w:rPr>
          <w:rFonts w:ascii="Times New Roman" w:hAnsi="Times New Roman" w:cs="Times New Roman"/>
          <w:sz w:val="24"/>
          <w:szCs w:val="24"/>
        </w:rPr>
        <w:t xml:space="preserve"> R&amp;D expenditures. We remove </w:t>
      </w:r>
      <w:r w:rsidR="00252335">
        <w:rPr>
          <w:rFonts w:ascii="Times New Roman" w:hAnsi="Times New Roman" w:cs="Times New Roman"/>
          <w:sz w:val="24"/>
          <w:szCs w:val="24"/>
        </w:rPr>
        <w:t>26</w:t>
      </w:r>
      <w:r w:rsidR="005632A3">
        <w:rPr>
          <w:rFonts w:ascii="Times New Roman" w:hAnsi="Times New Roman" w:cs="Times New Roman"/>
          <w:sz w:val="24"/>
          <w:szCs w:val="24"/>
        </w:rPr>
        <w:t>6</w:t>
      </w:r>
      <w:r w:rsidR="00252335" w:rsidRPr="00F67D90">
        <w:rPr>
          <w:rFonts w:ascii="Times New Roman" w:hAnsi="Times New Roman" w:cs="Times New Roman"/>
          <w:sz w:val="24"/>
          <w:szCs w:val="24"/>
        </w:rPr>
        <w:t xml:space="preserve"> </w:t>
      </w:r>
      <w:r w:rsidR="00F67D90" w:rsidRPr="00F67D90">
        <w:rPr>
          <w:rFonts w:ascii="Times New Roman" w:hAnsi="Times New Roman" w:cs="Times New Roman"/>
          <w:sz w:val="24"/>
          <w:szCs w:val="24"/>
        </w:rPr>
        <w:t xml:space="preserve">firm-year observations that have missing or zero </w:t>
      </w:r>
      <w:r w:rsidR="009949D2">
        <w:rPr>
          <w:rFonts w:ascii="Times New Roman" w:hAnsi="Times New Roman" w:cs="Times New Roman"/>
          <w:sz w:val="24"/>
          <w:szCs w:val="24"/>
        </w:rPr>
        <w:t xml:space="preserve">lagged </w:t>
      </w:r>
      <w:r w:rsidR="00F67D90" w:rsidRPr="00F67D90">
        <w:rPr>
          <w:rFonts w:ascii="Times New Roman" w:hAnsi="Times New Roman" w:cs="Times New Roman"/>
          <w:sz w:val="24"/>
          <w:szCs w:val="24"/>
        </w:rPr>
        <w:t xml:space="preserve">R&amp;D expenditures; </w:t>
      </w:r>
      <w:r w:rsidR="000D57E3">
        <w:rPr>
          <w:rFonts w:ascii="Times New Roman" w:hAnsi="Times New Roman" w:cs="Times New Roman"/>
          <w:sz w:val="24"/>
          <w:szCs w:val="24"/>
        </w:rPr>
        <w:t xml:space="preserve">this results in the removal of </w:t>
      </w:r>
      <w:r w:rsidR="005632A3">
        <w:rPr>
          <w:rFonts w:ascii="Times New Roman" w:hAnsi="Times New Roman" w:cs="Times New Roman"/>
          <w:sz w:val="24"/>
          <w:szCs w:val="24"/>
        </w:rPr>
        <w:t>3</w:t>
      </w:r>
      <w:r w:rsidR="00F67D90" w:rsidRPr="00F67D90">
        <w:rPr>
          <w:rFonts w:ascii="Times New Roman" w:hAnsi="Times New Roman" w:cs="Times New Roman"/>
          <w:sz w:val="24"/>
          <w:szCs w:val="24"/>
        </w:rPr>
        <w:t xml:space="preserve"> firms that no longer have data in both regimes.</w:t>
      </w:r>
      <w:r w:rsidR="00F67D90" w:rsidRPr="00F67D90">
        <w:rPr>
          <w:rStyle w:val="FootnoteReference"/>
          <w:rFonts w:ascii="Times New Roman" w:hAnsi="Times New Roman" w:cs="Times New Roman"/>
          <w:sz w:val="24"/>
          <w:szCs w:val="24"/>
        </w:rPr>
        <w:footnoteReference w:id="9"/>
      </w:r>
      <w:r w:rsidR="000D57E3">
        <w:rPr>
          <w:rFonts w:ascii="Times New Roman" w:hAnsi="Times New Roman" w:cs="Times New Roman"/>
          <w:sz w:val="24"/>
          <w:szCs w:val="24"/>
        </w:rPr>
        <w:t xml:space="preserve"> We then remove </w:t>
      </w:r>
      <w:r w:rsidR="005632A3">
        <w:rPr>
          <w:rFonts w:ascii="Times New Roman" w:hAnsi="Times New Roman" w:cs="Times New Roman"/>
          <w:sz w:val="24"/>
          <w:szCs w:val="24"/>
        </w:rPr>
        <w:t>439</w:t>
      </w:r>
      <w:r w:rsidR="00252335" w:rsidRPr="00F67D90">
        <w:rPr>
          <w:rFonts w:ascii="Times New Roman" w:hAnsi="Times New Roman" w:cs="Times New Roman"/>
          <w:sz w:val="24"/>
          <w:szCs w:val="24"/>
        </w:rPr>
        <w:t xml:space="preserve"> </w:t>
      </w:r>
      <w:r w:rsidR="00F67D90" w:rsidRPr="00F67D90">
        <w:rPr>
          <w:rFonts w:ascii="Times New Roman" w:hAnsi="Times New Roman" w:cs="Times New Roman"/>
          <w:sz w:val="24"/>
          <w:szCs w:val="24"/>
        </w:rPr>
        <w:t>firm-year observations due to missing accounting and financial data need</w:t>
      </w:r>
      <w:r w:rsidR="00E01C61">
        <w:rPr>
          <w:rFonts w:ascii="Times New Roman" w:hAnsi="Times New Roman" w:cs="Times New Roman"/>
          <w:sz w:val="24"/>
          <w:szCs w:val="24"/>
        </w:rPr>
        <w:t>ed</w:t>
      </w:r>
      <w:r w:rsidR="00F67D90" w:rsidRPr="00F67D90">
        <w:rPr>
          <w:rFonts w:ascii="Times New Roman" w:hAnsi="Times New Roman" w:cs="Times New Roman"/>
          <w:sz w:val="24"/>
          <w:szCs w:val="24"/>
        </w:rPr>
        <w:t xml:space="preserve"> to construct our variables (see below); th</w:t>
      </w:r>
      <w:r w:rsidR="000D57E3">
        <w:rPr>
          <w:rFonts w:ascii="Times New Roman" w:hAnsi="Times New Roman" w:cs="Times New Roman"/>
          <w:sz w:val="24"/>
          <w:szCs w:val="24"/>
        </w:rPr>
        <w:t xml:space="preserve">is resulted in the removal of </w:t>
      </w:r>
      <w:r w:rsidR="005632A3">
        <w:rPr>
          <w:rFonts w:ascii="Times New Roman" w:hAnsi="Times New Roman" w:cs="Times New Roman"/>
          <w:sz w:val="24"/>
          <w:szCs w:val="24"/>
        </w:rPr>
        <w:t>20</w:t>
      </w:r>
      <w:r w:rsidR="00F67D90" w:rsidRPr="00F67D90">
        <w:rPr>
          <w:rFonts w:ascii="Times New Roman" w:hAnsi="Times New Roman" w:cs="Times New Roman"/>
          <w:sz w:val="24"/>
          <w:szCs w:val="24"/>
        </w:rPr>
        <w:t xml:space="preserve"> firms that no longer have data in both regimes. </w:t>
      </w:r>
    </w:p>
    <w:p w14:paraId="6B651FA5" w14:textId="3BCDC7C8" w:rsidR="00233DB1" w:rsidRDefault="00A72BD1" w:rsidP="00E757AB">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next </w:t>
      </w:r>
      <w:r w:rsidR="00F67D90" w:rsidRPr="00F67D90">
        <w:rPr>
          <w:rFonts w:ascii="Times New Roman" w:hAnsi="Times New Roman" w:cs="Times New Roman"/>
          <w:sz w:val="24"/>
          <w:szCs w:val="24"/>
        </w:rPr>
        <w:t xml:space="preserve">step in </w:t>
      </w:r>
      <w:r>
        <w:rPr>
          <w:rFonts w:ascii="Times New Roman" w:hAnsi="Times New Roman" w:cs="Times New Roman"/>
          <w:sz w:val="24"/>
          <w:szCs w:val="24"/>
        </w:rPr>
        <w:t xml:space="preserve">our </w:t>
      </w:r>
      <w:r w:rsidR="00F67D90" w:rsidRPr="00F67D90">
        <w:rPr>
          <w:rFonts w:ascii="Times New Roman" w:hAnsi="Times New Roman" w:cs="Times New Roman"/>
          <w:sz w:val="24"/>
          <w:szCs w:val="24"/>
        </w:rPr>
        <w:t xml:space="preserve">sample construction is to identify our two primary sub-groups of firms: (1) those firms that always expensed under </w:t>
      </w:r>
      <w:r w:rsidR="007802DE">
        <w:rPr>
          <w:rFonts w:ascii="Times New Roman" w:hAnsi="Times New Roman" w:cs="Times New Roman"/>
          <w:sz w:val="24"/>
          <w:szCs w:val="24"/>
        </w:rPr>
        <w:t>UK</w:t>
      </w:r>
      <w:r w:rsidR="00F67D90" w:rsidRPr="00F67D90">
        <w:rPr>
          <w:rFonts w:ascii="Times New Roman" w:hAnsi="Times New Roman" w:cs="Times New Roman"/>
          <w:sz w:val="24"/>
          <w:szCs w:val="24"/>
        </w:rPr>
        <w:t xml:space="preserve"> GAAP and then began to always capitalize under IFRS (‘Switchers’), and (2) those firms that always capitalized under </w:t>
      </w:r>
      <w:r w:rsidR="007802DE">
        <w:rPr>
          <w:rFonts w:ascii="Times New Roman" w:hAnsi="Times New Roman" w:cs="Times New Roman"/>
          <w:sz w:val="24"/>
          <w:szCs w:val="24"/>
        </w:rPr>
        <w:t>UK</w:t>
      </w:r>
      <w:r w:rsidR="00F67D90" w:rsidRPr="00F67D90">
        <w:rPr>
          <w:rFonts w:ascii="Times New Roman" w:hAnsi="Times New Roman" w:cs="Times New Roman"/>
          <w:sz w:val="24"/>
          <w:szCs w:val="24"/>
        </w:rPr>
        <w:t xml:space="preserve"> GAAP and continued to always capitalize under IFRS (‘Capitalizers’). A number of firms did not fall into either of these two categories</w:t>
      </w:r>
      <w:r w:rsidR="00FE6214">
        <w:rPr>
          <w:rFonts w:ascii="Times New Roman" w:hAnsi="Times New Roman" w:cs="Times New Roman"/>
          <w:sz w:val="24"/>
          <w:szCs w:val="24"/>
        </w:rPr>
        <w:t>: 167 firms</w:t>
      </w:r>
      <w:r w:rsidR="00F67D90" w:rsidRPr="00F67D90">
        <w:rPr>
          <w:rFonts w:ascii="Times New Roman" w:hAnsi="Times New Roman" w:cs="Times New Roman"/>
          <w:sz w:val="24"/>
          <w:szCs w:val="24"/>
        </w:rPr>
        <w:t xml:space="preserve"> never began to capitalize under IFRS</w:t>
      </w:r>
      <w:r w:rsidR="00B11B7B">
        <w:rPr>
          <w:rFonts w:ascii="Times New Roman" w:hAnsi="Times New Roman" w:cs="Times New Roman"/>
          <w:sz w:val="24"/>
          <w:szCs w:val="24"/>
        </w:rPr>
        <w:t xml:space="preserve"> (‘</w:t>
      </w:r>
      <w:r w:rsidR="005632A3">
        <w:rPr>
          <w:rFonts w:ascii="Times New Roman" w:hAnsi="Times New Roman" w:cs="Times New Roman"/>
          <w:sz w:val="24"/>
          <w:szCs w:val="24"/>
        </w:rPr>
        <w:t>Non-Swit</w:t>
      </w:r>
      <w:r w:rsidR="0001641C">
        <w:rPr>
          <w:rFonts w:ascii="Times New Roman" w:hAnsi="Times New Roman" w:cs="Times New Roman"/>
          <w:sz w:val="24"/>
          <w:szCs w:val="24"/>
        </w:rPr>
        <w:t>ch</w:t>
      </w:r>
      <w:r w:rsidR="005632A3">
        <w:rPr>
          <w:rFonts w:ascii="Times New Roman" w:hAnsi="Times New Roman" w:cs="Times New Roman"/>
          <w:sz w:val="24"/>
          <w:szCs w:val="24"/>
        </w:rPr>
        <w:t>ers</w:t>
      </w:r>
      <w:r w:rsidR="00B11B7B">
        <w:rPr>
          <w:rFonts w:ascii="Times New Roman" w:hAnsi="Times New Roman" w:cs="Times New Roman"/>
          <w:sz w:val="24"/>
          <w:szCs w:val="24"/>
        </w:rPr>
        <w:t>’)</w:t>
      </w:r>
      <w:r w:rsidR="002A751D">
        <w:rPr>
          <w:rFonts w:ascii="Times New Roman" w:hAnsi="Times New Roman" w:cs="Times New Roman"/>
          <w:sz w:val="24"/>
          <w:szCs w:val="24"/>
        </w:rPr>
        <w:t>,</w:t>
      </w:r>
      <w:r w:rsidR="00F67D90" w:rsidRPr="00F67D90">
        <w:rPr>
          <w:rFonts w:ascii="Times New Roman" w:hAnsi="Times New Roman" w:cs="Times New Roman"/>
          <w:sz w:val="24"/>
          <w:szCs w:val="24"/>
        </w:rPr>
        <w:t xml:space="preserve"> </w:t>
      </w:r>
      <w:r w:rsidR="00FE6214">
        <w:rPr>
          <w:rFonts w:ascii="Times New Roman" w:hAnsi="Times New Roman" w:cs="Times New Roman"/>
          <w:sz w:val="24"/>
          <w:szCs w:val="24"/>
        </w:rPr>
        <w:t xml:space="preserve">while 151 firms </w:t>
      </w:r>
      <w:r w:rsidR="00F67D90" w:rsidRPr="00F67D90">
        <w:rPr>
          <w:rFonts w:ascii="Times New Roman" w:hAnsi="Times New Roman" w:cs="Times New Roman"/>
          <w:sz w:val="24"/>
          <w:szCs w:val="24"/>
        </w:rPr>
        <w:t>had a mixed policy of expensing and capitalizing in a particular regime.</w:t>
      </w:r>
      <w:r w:rsidR="00A41D14">
        <w:rPr>
          <w:rFonts w:ascii="Times New Roman" w:hAnsi="Times New Roman" w:cs="Times New Roman"/>
          <w:sz w:val="24"/>
          <w:szCs w:val="24"/>
        </w:rPr>
        <w:t xml:space="preserve"> </w:t>
      </w:r>
      <w:r w:rsidR="00F67D90" w:rsidRPr="00F67D90">
        <w:rPr>
          <w:rFonts w:ascii="Times New Roman" w:hAnsi="Times New Roman" w:cs="Times New Roman"/>
          <w:sz w:val="24"/>
          <w:szCs w:val="24"/>
        </w:rPr>
        <w:t>For our primary analysis, we deleted both of these groups</w:t>
      </w:r>
      <w:r w:rsidR="00763197">
        <w:rPr>
          <w:rFonts w:ascii="Times New Roman" w:hAnsi="Times New Roman" w:cs="Times New Roman"/>
          <w:sz w:val="24"/>
          <w:szCs w:val="24"/>
        </w:rPr>
        <w:t xml:space="preserve"> (in supplemental tests, </w:t>
      </w:r>
      <w:r w:rsidR="009077E8">
        <w:rPr>
          <w:rFonts w:ascii="Times New Roman" w:hAnsi="Times New Roman" w:cs="Times New Roman"/>
          <w:sz w:val="24"/>
          <w:szCs w:val="24"/>
        </w:rPr>
        <w:t>we include</w:t>
      </w:r>
      <w:r w:rsidR="00763197">
        <w:rPr>
          <w:rFonts w:ascii="Times New Roman" w:hAnsi="Times New Roman" w:cs="Times New Roman"/>
          <w:sz w:val="24"/>
          <w:szCs w:val="24"/>
        </w:rPr>
        <w:t xml:space="preserve"> the </w:t>
      </w:r>
      <w:r w:rsidR="00E757AB">
        <w:rPr>
          <w:rFonts w:ascii="Times New Roman" w:hAnsi="Times New Roman" w:cs="Times New Roman"/>
          <w:sz w:val="24"/>
          <w:szCs w:val="24"/>
        </w:rPr>
        <w:t>n</w:t>
      </w:r>
      <w:r w:rsidR="004F010B">
        <w:rPr>
          <w:rFonts w:ascii="Times New Roman" w:hAnsi="Times New Roman" w:cs="Times New Roman"/>
          <w:sz w:val="24"/>
          <w:szCs w:val="24"/>
        </w:rPr>
        <w:t>on-</w:t>
      </w:r>
      <w:r w:rsidR="00E757AB">
        <w:rPr>
          <w:rFonts w:ascii="Times New Roman" w:hAnsi="Times New Roman" w:cs="Times New Roman"/>
          <w:sz w:val="24"/>
          <w:szCs w:val="24"/>
        </w:rPr>
        <w:t>s</w:t>
      </w:r>
      <w:r w:rsidR="004F010B">
        <w:rPr>
          <w:rFonts w:ascii="Times New Roman" w:hAnsi="Times New Roman" w:cs="Times New Roman"/>
          <w:sz w:val="24"/>
          <w:szCs w:val="24"/>
        </w:rPr>
        <w:t>witchers</w:t>
      </w:r>
      <w:r w:rsidR="00763197">
        <w:rPr>
          <w:rFonts w:ascii="Times New Roman" w:hAnsi="Times New Roman" w:cs="Times New Roman"/>
          <w:sz w:val="24"/>
          <w:szCs w:val="24"/>
        </w:rPr>
        <w:t>)</w:t>
      </w:r>
      <w:r w:rsidR="00F67D90" w:rsidRPr="00F67D90">
        <w:rPr>
          <w:rFonts w:ascii="Times New Roman" w:hAnsi="Times New Roman" w:cs="Times New Roman"/>
          <w:sz w:val="24"/>
          <w:szCs w:val="24"/>
        </w:rPr>
        <w:t xml:space="preserve">. </w:t>
      </w:r>
    </w:p>
    <w:p w14:paraId="652E53B2" w14:textId="500EA706" w:rsidR="00A72BD1" w:rsidRPr="00F67D90" w:rsidRDefault="00A72BD1" w:rsidP="009374DB">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final step in our sample construction </w:t>
      </w:r>
      <w:r w:rsidR="00B33655">
        <w:rPr>
          <w:rFonts w:ascii="Times New Roman" w:hAnsi="Times New Roman" w:cs="Times New Roman"/>
          <w:sz w:val="24"/>
          <w:szCs w:val="24"/>
        </w:rPr>
        <w:t>is</w:t>
      </w:r>
      <w:r>
        <w:rPr>
          <w:rFonts w:ascii="Times New Roman" w:hAnsi="Times New Roman" w:cs="Times New Roman"/>
          <w:sz w:val="24"/>
          <w:szCs w:val="24"/>
        </w:rPr>
        <w:t xml:space="preserve"> to create a balanced sample of </w:t>
      </w:r>
      <w:r w:rsidR="00C10576">
        <w:rPr>
          <w:rFonts w:ascii="Times New Roman" w:hAnsi="Times New Roman" w:cs="Times New Roman"/>
          <w:sz w:val="24"/>
          <w:szCs w:val="24"/>
        </w:rPr>
        <w:t>switchers and capitalizers. As discussed below</w:t>
      </w:r>
      <w:r w:rsidR="00191CB3">
        <w:rPr>
          <w:rFonts w:ascii="Times New Roman" w:hAnsi="Times New Roman" w:cs="Times New Roman"/>
          <w:sz w:val="24"/>
          <w:szCs w:val="24"/>
        </w:rPr>
        <w:t>,</w:t>
      </w:r>
      <w:r w:rsidR="00C10576">
        <w:rPr>
          <w:rFonts w:ascii="Times New Roman" w:hAnsi="Times New Roman" w:cs="Times New Roman"/>
          <w:sz w:val="24"/>
          <w:szCs w:val="24"/>
        </w:rPr>
        <w:t xml:space="preserve"> we estimate a </w:t>
      </w:r>
      <w:r w:rsidR="00191CB3">
        <w:rPr>
          <w:rFonts w:ascii="Times New Roman" w:hAnsi="Times New Roman" w:cs="Times New Roman"/>
          <w:sz w:val="24"/>
          <w:szCs w:val="24"/>
        </w:rPr>
        <w:t>L</w:t>
      </w:r>
      <w:r w:rsidR="00C10576">
        <w:rPr>
          <w:rFonts w:ascii="Times New Roman" w:hAnsi="Times New Roman" w:cs="Times New Roman"/>
          <w:sz w:val="24"/>
          <w:szCs w:val="24"/>
        </w:rPr>
        <w:t xml:space="preserve">ogit </w:t>
      </w:r>
      <w:r w:rsidR="00191CB3">
        <w:rPr>
          <w:rFonts w:ascii="Times New Roman" w:hAnsi="Times New Roman" w:cs="Times New Roman"/>
          <w:sz w:val="24"/>
          <w:szCs w:val="24"/>
        </w:rPr>
        <w:t xml:space="preserve">model </w:t>
      </w:r>
      <w:r w:rsidR="00C10576">
        <w:rPr>
          <w:rFonts w:ascii="Times New Roman" w:hAnsi="Times New Roman" w:cs="Times New Roman"/>
          <w:sz w:val="24"/>
          <w:szCs w:val="24"/>
        </w:rPr>
        <w:t>to determine the characteristics that influence a firm’s choice to capitalize under UK GAAP. Based on the significant factors that influence this decision</w:t>
      </w:r>
      <w:r w:rsidR="009A24C5">
        <w:rPr>
          <w:rFonts w:ascii="Times New Roman" w:hAnsi="Times New Roman" w:cs="Times New Roman"/>
          <w:sz w:val="24"/>
          <w:szCs w:val="24"/>
        </w:rPr>
        <w:t>,</w:t>
      </w:r>
      <w:r w:rsidR="00C10576">
        <w:rPr>
          <w:rFonts w:ascii="Times New Roman" w:hAnsi="Times New Roman" w:cs="Times New Roman"/>
          <w:sz w:val="24"/>
          <w:szCs w:val="24"/>
        </w:rPr>
        <w:t xml:space="preserve"> we use entropy balancing in our main tests. </w:t>
      </w:r>
      <w:r w:rsidR="00F04BFF">
        <w:rPr>
          <w:rFonts w:ascii="Times New Roman" w:hAnsi="Times New Roman" w:cs="Times New Roman"/>
          <w:sz w:val="24"/>
          <w:szCs w:val="24"/>
        </w:rPr>
        <w:t xml:space="preserve">We balance in the initial year of the sample period and apply the entropy balance weight for the remaining years. </w:t>
      </w:r>
      <w:r w:rsidR="008E13D4">
        <w:rPr>
          <w:rFonts w:ascii="Times New Roman" w:hAnsi="Times New Roman" w:cs="Times New Roman"/>
          <w:sz w:val="24"/>
          <w:szCs w:val="24"/>
        </w:rPr>
        <w:t xml:space="preserve">To ensure that we are able to appropriately balance, we require switcher and capitalizer firms to exist for four years in each accounting regime. </w:t>
      </w:r>
      <w:r w:rsidR="005632A3">
        <w:rPr>
          <w:rFonts w:ascii="Times New Roman" w:hAnsi="Times New Roman" w:cs="Times New Roman"/>
          <w:sz w:val="24"/>
          <w:szCs w:val="24"/>
        </w:rPr>
        <w:t xml:space="preserve">Our balanced sample has 800 firm-year observations (100 firms), of which there are </w:t>
      </w:r>
      <w:r w:rsidR="00C10576">
        <w:rPr>
          <w:rFonts w:ascii="Times New Roman" w:hAnsi="Times New Roman" w:cs="Times New Roman"/>
          <w:sz w:val="24"/>
          <w:szCs w:val="24"/>
        </w:rPr>
        <w:t>656 switcher firm</w:t>
      </w:r>
      <w:r w:rsidR="005632A3">
        <w:rPr>
          <w:rFonts w:ascii="Times New Roman" w:hAnsi="Times New Roman" w:cs="Times New Roman"/>
          <w:sz w:val="24"/>
          <w:szCs w:val="24"/>
        </w:rPr>
        <w:t>-</w:t>
      </w:r>
      <w:r w:rsidR="00C10576">
        <w:rPr>
          <w:rFonts w:ascii="Times New Roman" w:hAnsi="Times New Roman" w:cs="Times New Roman"/>
          <w:sz w:val="24"/>
          <w:szCs w:val="24"/>
        </w:rPr>
        <w:t>year</w:t>
      </w:r>
      <w:r w:rsidR="005632A3">
        <w:rPr>
          <w:rFonts w:ascii="Times New Roman" w:hAnsi="Times New Roman" w:cs="Times New Roman"/>
          <w:sz w:val="24"/>
          <w:szCs w:val="24"/>
        </w:rPr>
        <w:t xml:space="preserve"> observations</w:t>
      </w:r>
      <w:r w:rsidR="00C10576">
        <w:rPr>
          <w:rFonts w:ascii="Times New Roman" w:hAnsi="Times New Roman" w:cs="Times New Roman"/>
          <w:sz w:val="24"/>
          <w:szCs w:val="24"/>
        </w:rPr>
        <w:t xml:space="preserve"> (82 firms) and 144 capitalizer firm</w:t>
      </w:r>
      <w:r w:rsidR="005632A3">
        <w:rPr>
          <w:rFonts w:ascii="Times New Roman" w:hAnsi="Times New Roman" w:cs="Times New Roman"/>
          <w:sz w:val="24"/>
          <w:szCs w:val="24"/>
        </w:rPr>
        <w:t>-year observations</w:t>
      </w:r>
      <w:r w:rsidR="00C10576">
        <w:rPr>
          <w:rFonts w:ascii="Times New Roman" w:hAnsi="Times New Roman" w:cs="Times New Roman"/>
          <w:sz w:val="24"/>
          <w:szCs w:val="24"/>
        </w:rPr>
        <w:t xml:space="preserve"> (18 firms).</w:t>
      </w:r>
      <w:r w:rsidR="00B11B7B">
        <w:rPr>
          <w:rStyle w:val="FootnoteReference"/>
          <w:rFonts w:ascii="Times New Roman" w:hAnsi="Times New Roman" w:cs="Times New Roman"/>
          <w:sz w:val="24"/>
          <w:szCs w:val="24"/>
        </w:rPr>
        <w:footnoteReference w:id="10"/>
      </w:r>
      <w:r w:rsidR="00C10576">
        <w:rPr>
          <w:rFonts w:ascii="Times New Roman" w:hAnsi="Times New Roman" w:cs="Times New Roman"/>
          <w:sz w:val="24"/>
          <w:szCs w:val="24"/>
        </w:rPr>
        <w:t xml:space="preserve"> </w:t>
      </w:r>
    </w:p>
    <w:p w14:paraId="3F443B1C" w14:textId="491EA62F" w:rsidR="00FE6214" w:rsidRPr="00FE6214" w:rsidRDefault="00FE6214" w:rsidP="009374DB">
      <w:pPr>
        <w:pStyle w:val="FootnoteText"/>
        <w:spacing w:line="480" w:lineRule="auto"/>
        <w:ind w:firstLine="567"/>
        <w:jc w:val="both"/>
        <w:rPr>
          <w:rFonts w:ascii="Times New Roman" w:hAnsi="Times New Roman" w:cs="Times New Roman"/>
          <w:sz w:val="24"/>
          <w:szCs w:val="24"/>
        </w:rPr>
      </w:pPr>
      <w:r w:rsidRPr="004D79BB">
        <w:rPr>
          <w:rFonts w:ascii="Times New Roman" w:hAnsi="Times New Roman" w:cs="Times New Roman"/>
          <w:sz w:val="24"/>
          <w:szCs w:val="24"/>
        </w:rPr>
        <w:t>An important assumption underlying our tests is that capitalization of eligible development expenditures is mandatory</w:t>
      </w:r>
      <w:r>
        <w:rPr>
          <w:rFonts w:ascii="Times New Roman" w:hAnsi="Times New Roman" w:cs="Times New Roman"/>
          <w:sz w:val="24"/>
          <w:szCs w:val="24"/>
        </w:rPr>
        <w:t xml:space="preserve"> under IFRS</w:t>
      </w:r>
      <w:r w:rsidR="004D79BB">
        <w:rPr>
          <w:rFonts w:ascii="Times New Roman" w:hAnsi="Times New Roman" w:cs="Times New Roman"/>
          <w:sz w:val="24"/>
          <w:szCs w:val="24"/>
        </w:rPr>
        <w:t xml:space="preserve">. </w:t>
      </w:r>
      <w:r>
        <w:rPr>
          <w:rFonts w:ascii="Times New Roman" w:hAnsi="Times New Roman" w:cs="Times New Roman"/>
          <w:sz w:val="24"/>
          <w:szCs w:val="24"/>
        </w:rPr>
        <w:t>Consistent with this, t</w:t>
      </w:r>
      <w:r w:rsidRPr="004D79BB">
        <w:rPr>
          <w:rFonts w:ascii="Times New Roman" w:hAnsi="Times New Roman" w:cs="Times New Roman"/>
          <w:sz w:val="24"/>
          <w:szCs w:val="24"/>
        </w:rPr>
        <w:t xml:space="preserve">he fact that so many expensers switched </w:t>
      </w:r>
      <w:r w:rsidR="00966625">
        <w:rPr>
          <w:rFonts w:ascii="Times New Roman" w:hAnsi="Times New Roman" w:cs="Times New Roman"/>
          <w:sz w:val="24"/>
          <w:szCs w:val="24"/>
        </w:rPr>
        <w:t xml:space="preserve">is </w:t>
      </w:r>
      <w:r w:rsidR="00966625" w:rsidRPr="00966625">
        <w:rPr>
          <w:rFonts w:ascii="Times New Roman" w:hAnsi="Times New Roman" w:cs="Times New Roman"/>
          <w:i/>
          <w:sz w:val="24"/>
          <w:szCs w:val="24"/>
        </w:rPr>
        <w:t>prima facie</w:t>
      </w:r>
      <w:r w:rsidR="00966625">
        <w:rPr>
          <w:rFonts w:ascii="Times New Roman" w:hAnsi="Times New Roman" w:cs="Times New Roman"/>
          <w:sz w:val="24"/>
          <w:szCs w:val="24"/>
        </w:rPr>
        <w:t xml:space="preserve"> evidence </w:t>
      </w:r>
      <w:r w:rsidRPr="004D79BB">
        <w:rPr>
          <w:rFonts w:ascii="Times New Roman" w:hAnsi="Times New Roman" w:cs="Times New Roman"/>
          <w:sz w:val="24"/>
          <w:szCs w:val="24"/>
        </w:rPr>
        <w:t>that enforcement was effective, and non-switche</w:t>
      </w:r>
      <w:r w:rsidR="003208B8">
        <w:rPr>
          <w:rFonts w:ascii="Times New Roman" w:hAnsi="Times New Roman" w:cs="Times New Roman"/>
          <w:sz w:val="24"/>
          <w:szCs w:val="24"/>
        </w:rPr>
        <w:t>r</w:t>
      </w:r>
      <w:r w:rsidRPr="004D79BB">
        <w:rPr>
          <w:rFonts w:ascii="Times New Roman" w:hAnsi="Times New Roman" w:cs="Times New Roman"/>
          <w:sz w:val="24"/>
          <w:szCs w:val="24"/>
        </w:rPr>
        <w:t>s did not simply c</w:t>
      </w:r>
      <w:r w:rsidR="004D79BB" w:rsidRPr="004D79BB">
        <w:rPr>
          <w:rFonts w:ascii="Times New Roman" w:hAnsi="Times New Roman" w:cs="Times New Roman"/>
          <w:sz w:val="24"/>
          <w:szCs w:val="24"/>
        </w:rPr>
        <w:t xml:space="preserve">hoose to avoid capitalization. </w:t>
      </w:r>
      <w:r w:rsidR="00BE74AF">
        <w:rPr>
          <w:rFonts w:ascii="Times New Roman" w:hAnsi="Times New Roman" w:cs="Times New Roman"/>
          <w:sz w:val="24"/>
          <w:szCs w:val="24"/>
        </w:rPr>
        <w:t xml:space="preserve">In addition, switchers’ pro-forma </w:t>
      </w:r>
      <w:r w:rsidR="00D40205">
        <w:rPr>
          <w:rFonts w:ascii="Times New Roman" w:hAnsi="Times New Roman" w:cs="Times New Roman"/>
          <w:sz w:val="24"/>
          <w:szCs w:val="24"/>
        </w:rPr>
        <w:t xml:space="preserve">(as-if IFRS) </w:t>
      </w:r>
      <w:r w:rsidR="00BE74AF">
        <w:rPr>
          <w:rFonts w:ascii="Times New Roman" w:hAnsi="Times New Roman" w:cs="Times New Roman"/>
          <w:sz w:val="24"/>
          <w:szCs w:val="24"/>
        </w:rPr>
        <w:t xml:space="preserve">capitalized amounts in the last UK GAAP year </w:t>
      </w:r>
      <w:r w:rsidR="00966625">
        <w:rPr>
          <w:rFonts w:ascii="Times New Roman" w:hAnsi="Times New Roman" w:cs="Times New Roman"/>
          <w:sz w:val="24"/>
          <w:szCs w:val="24"/>
        </w:rPr>
        <w:t>show</w:t>
      </w:r>
      <w:r w:rsidR="00BE74AF">
        <w:rPr>
          <w:rFonts w:ascii="Times New Roman" w:hAnsi="Times New Roman" w:cs="Times New Roman"/>
          <w:sz w:val="24"/>
          <w:szCs w:val="24"/>
        </w:rPr>
        <w:t xml:space="preserve"> that they chose to expense before IFRS. </w:t>
      </w:r>
      <w:r w:rsidR="004D79BB" w:rsidRPr="004D79BB">
        <w:rPr>
          <w:rFonts w:ascii="Times New Roman" w:hAnsi="Times New Roman" w:cs="Times New Roman"/>
          <w:sz w:val="24"/>
          <w:szCs w:val="24"/>
        </w:rPr>
        <w:t xml:space="preserve">Thus, firms that </w:t>
      </w:r>
      <w:r w:rsidR="004D79BB">
        <w:rPr>
          <w:rFonts w:ascii="Times New Roman" w:hAnsi="Times New Roman" w:cs="Times New Roman"/>
          <w:sz w:val="24"/>
          <w:szCs w:val="24"/>
        </w:rPr>
        <w:t xml:space="preserve">continued to expense </w:t>
      </w:r>
      <w:r w:rsidRPr="00FE6214">
        <w:rPr>
          <w:rFonts w:ascii="Times New Roman" w:hAnsi="Times New Roman" w:cs="Times New Roman"/>
          <w:sz w:val="24"/>
          <w:szCs w:val="24"/>
        </w:rPr>
        <w:t>either had only research expenditures, or their development expenditures never met the conditions for capitalization</w:t>
      </w:r>
      <w:r w:rsidR="004D79BB">
        <w:rPr>
          <w:rFonts w:ascii="Times New Roman" w:hAnsi="Times New Roman" w:cs="Times New Roman"/>
          <w:sz w:val="24"/>
          <w:szCs w:val="24"/>
        </w:rPr>
        <w:t xml:space="preserve">. Since </w:t>
      </w:r>
      <w:r w:rsidR="004D79BB" w:rsidRPr="00FE6214">
        <w:rPr>
          <w:rFonts w:ascii="Times New Roman" w:hAnsi="Times New Roman" w:cs="Times New Roman"/>
          <w:sz w:val="24"/>
          <w:szCs w:val="24"/>
        </w:rPr>
        <w:t xml:space="preserve">research vs development expenditures </w:t>
      </w:r>
      <w:r w:rsidR="004D79BB">
        <w:rPr>
          <w:rFonts w:ascii="Times New Roman" w:hAnsi="Times New Roman" w:cs="Times New Roman"/>
          <w:sz w:val="24"/>
          <w:szCs w:val="24"/>
        </w:rPr>
        <w:t xml:space="preserve">are not </w:t>
      </w:r>
      <w:r w:rsidRPr="00FE6214">
        <w:rPr>
          <w:rFonts w:ascii="Times New Roman" w:hAnsi="Times New Roman" w:cs="Times New Roman"/>
          <w:sz w:val="24"/>
          <w:szCs w:val="24"/>
        </w:rPr>
        <w:t>separately identif</w:t>
      </w:r>
      <w:r w:rsidR="004D79BB">
        <w:rPr>
          <w:rFonts w:ascii="Times New Roman" w:hAnsi="Times New Roman" w:cs="Times New Roman"/>
          <w:sz w:val="24"/>
          <w:szCs w:val="24"/>
        </w:rPr>
        <w:t>ied</w:t>
      </w:r>
      <w:r w:rsidRPr="00FE6214">
        <w:rPr>
          <w:rFonts w:ascii="Times New Roman" w:hAnsi="Times New Roman" w:cs="Times New Roman"/>
          <w:sz w:val="24"/>
          <w:szCs w:val="24"/>
        </w:rPr>
        <w:t>, we cannot know the reason for non-capitalization</w:t>
      </w:r>
      <w:r w:rsidR="004D79BB">
        <w:rPr>
          <w:rFonts w:ascii="Times New Roman" w:hAnsi="Times New Roman" w:cs="Times New Roman"/>
          <w:sz w:val="24"/>
          <w:szCs w:val="24"/>
        </w:rPr>
        <w:t>.</w:t>
      </w:r>
      <w:r w:rsidR="000E7A38">
        <w:rPr>
          <w:rStyle w:val="FootnoteReference"/>
          <w:rFonts w:ascii="Times New Roman" w:hAnsi="Times New Roman" w:cs="Times New Roman"/>
          <w:sz w:val="24"/>
          <w:szCs w:val="24"/>
        </w:rPr>
        <w:footnoteReference w:id="11"/>
      </w:r>
      <w:r w:rsidR="003208B8">
        <w:rPr>
          <w:rFonts w:ascii="Times New Roman" w:hAnsi="Times New Roman" w:cs="Times New Roman"/>
          <w:sz w:val="24"/>
          <w:szCs w:val="24"/>
        </w:rPr>
        <w:t xml:space="preserve"> </w:t>
      </w:r>
    </w:p>
    <w:p w14:paraId="5CE1DD32" w14:textId="6DD4170A" w:rsidR="00F67D90" w:rsidRPr="00F67D90" w:rsidRDefault="00F67D90" w:rsidP="009374DB">
      <w:pPr>
        <w:spacing w:after="0" w:line="480" w:lineRule="auto"/>
        <w:ind w:firstLine="567"/>
        <w:jc w:val="both"/>
        <w:rPr>
          <w:rFonts w:ascii="Times New Roman" w:hAnsi="Times New Roman" w:cs="Times New Roman"/>
          <w:sz w:val="24"/>
          <w:szCs w:val="24"/>
        </w:rPr>
      </w:pPr>
      <w:r w:rsidRPr="00F67D90">
        <w:rPr>
          <w:rFonts w:ascii="Times New Roman" w:hAnsi="Times New Roman" w:cs="Times New Roman"/>
          <w:sz w:val="24"/>
          <w:szCs w:val="24"/>
        </w:rPr>
        <w:t xml:space="preserve">Table 2 shows the industry breakdown of both groups. In total there are </w:t>
      </w:r>
      <w:r w:rsidR="0066510C">
        <w:rPr>
          <w:rFonts w:ascii="Times New Roman" w:hAnsi="Times New Roman" w:cs="Times New Roman"/>
          <w:sz w:val="24"/>
          <w:szCs w:val="24"/>
        </w:rPr>
        <w:t>eleven</w:t>
      </w:r>
      <w:r w:rsidRPr="00F67D90">
        <w:rPr>
          <w:rFonts w:ascii="Times New Roman" w:hAnsi="Times New Roman" w:cs="Times New Roman"/>
          <w:sz w:val="24"/>
          <w:szCs w:val="24"/>
        </w:rPr>
        <w:t xml:space="preserve"> industries represented. For both switchers and capitalizers, the majority of the firms are concentrated in three industries: healthcare, industrial goods and services, and technology. Specifically, </w:t>
      </w:r>
      <w:r w:rsidR="0066510C" w:rsidRPr="00F67D90">
        <w:rPr>
          <w:rFonts w:ascii="Times New Roman" w:hAnsi="Times New Roman" w:cs="Times New Roman"/>
          <w:sz w:val="24"/>
          <w:szCs w:val="24"/>
        </w:rPr>
        <w:t>8</w:t>
      </w:r>
      <w:r w:rsidR="0066510C">
        <w:rPr>
          <w:rFonts w:ascii="Times New Roman" w:hAnsi="Times New Roman" w:cs="Times New Roman"/>
          <w:sz w:val="24"/>
          <w:szCs w:val="24"/>
        </w:rPr>
        <w:t>7</w:t>
      </w:r>
      <w:r w:rsidRPr="00F67D90">
        <w:rPr>
          <w:rFonts w:ascii="Times New Roman" w:hAnsi="Times New Roman" w:cs="Times New Roman"/>
          <w:sz w:val="24"/>
          <w:szCs w:val="24"/>
        </w:rPr>
        <w:t xml:space="preserve">% of the switcher firms are in these three industries, whereas </w:t>
      </w:r>
      <w:r w:rsidR="0066510C">
        <w:rPr>
          <w:rFonts w:ascii="Times New Roman" w:hAnsi="Times New Roman" w:cs="Times New Roman"/>
          <w:sz w:val="24"/>
          <w:szCs w:val="24"/>
        </w:rPr>
        <w:t>7</w:t>
      </w:r>
      <w:r w:rsidR="0066510C" w:rsidRPr="00F67D90">
        <w:rPr>
          <w:rFonts w:ascii="Times New Roman" w:hAnsi="Times New Roman" w:cs="Times New Roman"/>
          <w:sz w:val="24"/>
          <w:szCs w:val="24"/>
        </w:rPr>
        <w:t>8</w:t>
      </w:r>
      <w:r w:rsidRPr="00F67D90">
        <w:rPr>
          <w:rFonts w:ascii="Times New Roman" w:hAnsi="Times New Roman" w:cs="Times New Roman"/>
          <w:sz w:val="24"/>
          <w:szCs w:val="24"/>
        </w:rPr>
        <w:t>% of the capitalizer firms are in these three industries.</w:t>
      </w:r>
    </w:p>
    <w:p w14:paraId="3BB7DC87" w14:textId="4170A020" w:rsidR="00C123D4" w:rsidRDefault="00F67D90" w:rsidP="009374DB">
      <w:pPr>
        <w:spacing w:after="0" w:line="480" w:lineRule="auto"/>
        <w:ind w:firstLine="567"/>
        <w:jc w:val="both"/>
        <w:rPr>
          <w:rFonts w:ascii="Times New Roman" w:hAnsi="Times New Roman" w:cs="Times New Roman"/>
          <w:sz w:val="24"/>
          <w:szCs w:val="24"/>
        </w:rPr>
      </w:pPr>
      <w:r w:rsidRPr="00F67D90">
        <w:rPr>
          <w:rFonts w:ascii="Times New Roman" w:hAnsi="Times New Roman" w:cs="Times New Roman"/>
          <w:sz w:val="24"/>
          <w:szCs w:val="24"/>
        </w:rPr>
        <w:t>In order to calculate the impact of the accounting method on R&amp;D expenditures, we need a measure of R&amp;D expenditures or R&amp;D intensity. As there is no agreed upon metric in the literature, we use the following measures:</w:t>
      </w:r>
    </w:p>
    <w:p w14:paraId="0BC33E34" w14:textId="17940648" w:rsidR="00F67D90" w:rsidRPr="00F67D90" w:rsidRDefault="00710CB8" w:rsidP="007D0B97">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R</w:t>
      </w:r>
      <w:r w:rsidR="002F3992">
        <w:rPr>
          <w:rFonts w:ascii="Times New Roman" w:hAnsi="Times New Roman" w:cs="Times New Roman"/>
          <w:sz w:val="24"/>
          <w:szCs w:val="24"/>
        </w:rPr>
        <w:t>D</w:t>
      </w:r>
      <w:r w:rsidR="00F67D90" w:rsidRPr="00F67D90">
        <w:rPr>
          <w:rFonts w:ascii="Times New Roman" w:hAnsi="Times New Roman" w:cs="Times New Roman"/>
          <w:sz w:val="24"/>
          <w:szCs w:val="24"/>
        </w:rPr>
        <w:t>_</w:t>
      </w:r>
      <w:r>
        <w:rPr>
          <w:rFonts w:ascii="Times New Roman" w:hAnsi="Times New Roman" w:cs="Times New Roman"/>
          <w:sz w:val="24"/>
          <w:szCs w:val="24"/>
        </w:rPr>
        <w:t>Gwth</w:t>
      </w:r>
      <w:r w:rsidR="00F67D90" w:rsidRPr="00F67D90">
        <w:rPr>
          <w:rFonts w:ascii="Times New Roman" w:hAnsi="Times New Roman" w:cs="Times New Roman"/>
          <w:sz w:val="24"/>
          <w:szCs w:val="24"/>
        </w:rPr>
        <w:t xml:space="preserve"> = (RD</w:t>
      </w:r>
      <w:r w:rsidR="00F67D90" w:rsidRPr="00F67D90">
        <w:rPr>
          <w:rFonts w:ascii="Times New Roman" w:hAnsi="Times New Roman" w:cs="Times New Roman"/>
          <w:sz w:val="24"/>
          <w:szCs w:val="24"/>
          <w:vertAlign w:val="subscript"/>
        </w:rPr>
        <w:t xml:space="preserve">t </w:t>
      </w:r>
      <w:r w:rsidR="00E1782C">
        <w:rPr>
          <w:rFonts w:ascii="Times New Roman" w:hAnsi="Times New Roman" w:cs="Times New Roman"/>
          <w:sz w:val="24"/>
          <w:szCs w:val="24"/>
        </w:rPr>
        <w:t>–</w:t>
      </w:r>
      <w:r w:rsidR="00004E34">
        <w:rPr>
          <w:rFonts w:ascii="Times New Roman" w:hAnsi="Times New Roman" w:cs="Times New Roman"/>
          <w:sz w:val="24"/>
          <w:szCs w:val="24"/>
        </w:rPr>
        <w:t xml:space="preserve"> </w:t>
      </w:r>
      <w:r w:rsidR="00F67D90" w:rsidRPr="00F67D90">
        <w:rPr>
          <w:rFonts w:ascii="Times New Roman" w:hAnsi="Times New Roman" w:cs="Times New Roman"/>
          <w:sz w:val="24"/>
          <w:szCs w:val="24"/>
        </w:rPr>
        <w:t>RD</w:t>
      </w:r>
      <w:r w:rsidR="00F67D90" w:rsidRPr="00F67D90">
        <w:rPr>
          <w:rFonts w:ascii="Times New Roman" w:hAnsi="Times New Roman" w:cs="Times New Roman"/>
          <w:sz w:val="24"/>
          <w:szCs w:val="24"/>
          <w:vertAlign w:val="subscript"/>
        </w:rPr>
        <w:t>t-1</w:t>
      </w:r>
      <w:r w:rsidR="00F67D90" w:rsidRPr="00F67D90">
        <w:rPr>
          <w:rFonts w:ascii="Times New Roman" w:hAnsi="Times New Roman" w:cs="Times New Roman"/>
          <w:sz w:val="24"/>
          <w:szCs w:val="24"/>
        </w:rPr>
        <w:t>)</w:t>
      </w:r>
      <w:r w:rsidR="00004E34">
        <w:rPr>
          <w:rFonts w:ascii="Times New Roman" w:hAnsi="Times New Roman" w:cs="Times New Roman"/>
          <w:sz w:val="24"/>
          <w:szCs w:val="24"/>
        </w:rPr>
        <w:t>/</w:t>
      </w:r>
      <w:r w:rsidR="00004E34" w:rsidRPr="00F67D90">
        <w:rPr>
          <w:rFonts w:ascii="Times New Roman" w:hAnsi="Times New Roman" w:cs="Times New Roman"/>
          <w:sz w:val="24"/>
          <w:szCs w:val="24"/>
        </w:rPr>
        <w:t>RD</w:t>
      </w:r>
      <w:r w:rsidR="00004E34" w:rsidRPr="00F67D90">
        <w:rPr>
          <w:rFonts w:ascii="Times New Roman" w:hAnsi="Times New Roman" w:cs="Times New Roman"/>
          <w:sz w:val="24"/>
          <w:szCs w:val="24"/>
          <w:vertAlign w:val="subscript"/>
        </w:rPr>
        <w:t>t-1</w:t>
      </w:r>
      <w:r w:rsidR="00004E34">
        <w:rPr>
          <w:rFonts w:ascii="Times New Roman" w:hAnsi="Times New Roman" w:cs="Times New Roman"/>
          <w:sz w:val="24"/>
          <w:szCs w:val="24"/>
        </w:rPr>
        <w:t xml:space="preserve"> </w:t>
      </w:r>
    </w:p>
    <w:p w14:paraId="15CE0D6C" w14:textId="77777777" w:rsidR="00877300" w:rsidRPr="00253912" w:rsidRDefault="00877300" w:rsidP="00877300">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RD_TA</w:t>
      </w:r>
      <w:r w:rsidRPr="00F67D90">
        <w:rPr>
          <w:rFonts w:ascii="Times New Roman" w:hAnsi="Times New Roman" w:cs="Times New Roman"/>
          <w:sz w:val="24"/>
          <w:szCs w:val="24"/>
        </w:rPr>
        <w:t xml:space="preserve"> = </w:t>
      </w:r>
      <w:r>
        <w:rPr>
          <w:rFonts w:ascii="Times New Roman" w:hAnsi="Times New Roman" w:cs="Times New Roman"/>
          <w:sz w:val="24"/>
          <w:szCs w:val="24"/>
        </w:rPr>
        <w:t>(</w:t>
      </w:r>
      <w:r w:rsidRPr="00F67D90">
        <w:rPr>
          <w:rFonts w:ascii="Times New Roman" w:hAnsi="Times New Roman" w:cs="Times New Roman"/>
          <w:sz w:val="24"/>
          <w:szCs w:val="24"/>
        </w:rPr>
        <w:t>RD</w:t>
      </w:r>
      <w:r w:rsidRPr="00F67D90">
        <w:rPr>
          <w:rFonts w:ascii="Times New Roman" w:hAnsi="Times New Roman" w:cs="Times New Roman"/>
          <w:sz w:val="24"/>
          <w:szCs w:val="24"/>
          <w:vertAlign w:val="subscript"/>
        </w:rPr>
        <w:t xml:space="preserve">t </w:t>
      </w:r>
      <w:r>
        <w:rPr>
          <w:rFonts w:ascii="Times New Roman" w:hAnsi="Times New Roman" w:cs="Times New Roman"/>
          <w:sz w:val="24"/>
          <w:szCs w:val="24"/>
        </w:rPr>
        <w:t>–</w:t>
      </w:r>
      <w:r w:rsidRPr="00F67D90">
        <w:rPr>
          <w:rFonts w:ascii="Times New Roman" w:hAnsi="Times New Roman" w:cs="Times New Roman"/>
          <w:sz w:val="24"/>
          <w:szCs w:val="24"/>
        </w:rPr>
        <w:t xml:space="preserve"> RD</w:t>
      </w:r>
      <w:r w:rsidRPr="00F67D90">
        <w:rPr>
          <w:rFonts w:ascii="Times New Roman" w:hAnsi="Times New Roman" w:cs="Times New Roman"/>
          <w:sz w:val="24"/>
          <w:szCs w:val="24"/>
          <w:vertAlign w:val="subscript"/>
        </w:rPr>
        <w:t>t-1</w:t>
      </w:r>
      <w:r w:rsidRPr="0080751D">
        <w:rPr>
          <w:rFonts w:ascii="Times New Roman" w:hAnsi="Times New Roman" w:cs="Times New Roman"/>
          <w:sz w:val="24"/>
          <w:szCs w:val="24"/>
        </w:rPr>
        <w:t>)</w:t>
      </w:r>
      <w:r w:rsidRPr="00F67D90">
        <w:rPr>
          <w:rFonts w:ascii="Times New Roman" w:hAnsi="Times New Roman" w:cs="Times New Roman"/>
          <w:sz w:val="24"/>
          <w:szCs w:val="24"/>
        </w:rPr>
        <w:t>/TA</w:t>
      </w:r>
      <w:r w:rsidRPr="00F67D90">
        <w:rPr>
          <w:rFonts w:ascii="Times New Roman" w:hAnsi="Times New Roman" w:cs="Times New Roman"/>
          <w:sz w:val="24"/>
          <w:szCs w:val="24"/>
          <w:vertAlign w:val="subscript"/>
        </w:rPr>
        <w:t>t-1</w:t>
      </w:r>
    </w:p>
    <w:p w14:paraId="5C36154C" w14:textId="13C769C1" w:rsidR="00F67D90" w:rsidRPr="00F67D90" w:rsidRDefault="00710CB8" w:rsidP="007D0B97">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RD_Sales</w:t>
      </w:r>
      <w:r w:rsidR="00B06E06">
        <w:rPr>
          <w:rFonts w:ascii="Times New Roman" w:hAnsi="Times New Roman" w:cs="Times New Roman"/>
          <w:sz w:val="24"/>
          <w:szCs w:val="24"/>
        </w:rPr>
        <w:t xml:space="preserve"> </w:t>
      </w:r>
      <w:r w:rsidR="00F67D90" w:rsidRPr="00F67D90">
        <w:rPr>
          <w:rFonts w:ascii="Times New Roman" w:hAnsi="Times New Roman" w:cs="Times New Roman"/>
          <w:sz w:val="24"/>
          <w:szCs w:val="24"/>
        </w:rPr>
        <w:t xml:space="preserve">= </w:t>
      </w:r>
      <w:r w:rsidR="00714A97">
        <w:rPr>
          <w:rFonts w:ascii="Times New Roman" w:hAnsi="Times New Roman" w:cs="Times New Roman"/>
          <w:sz w:val="24"/>
          <w:szCs w:val="24"/>
        </w:rPr>
        <w:t>(</w:t>
      </w:r>
      <w:r w:rsidR="00F67D90" w:rsidRPr="00F67D90">
        <w:rPr>
          <w:rFonts w:ascii="Times New Roman" w:hAnsi="Times New Roman" w:cs="Times New Roman"/>
          <w:sz w:val="24"/>
          <w:szCs w:val="24"/>
        </w:rPr>
        <w:t>RD</w:t>
      </w:r>
      <w:r w:rsidR="00F67D90" w:rsidRPr="00F67D90">
        <w:rPr>
          <w:rFonts w:ascii="Times New Roman" w:hAnsi="Times New Roman" w:cs="Times New Roman"/>
          <w:sz w:val="24"/>
          <w:szCs w:val="24"/>
          <w:vertAlign w:val="subscript"/>
        </w:rPr>
        <w:t xml:space="preserve">t </w:t>
      </w:r>
      <w:r w:rsidR="00714A97">
        <w:rPr>
          <w:rFonts w:ascii="Times New Roman" w:hAnsi="Times New Roman" w:cs="Times New Roman"/>
          <w:sz w:val="24"/>
          <w:szCs w:val="24"/>
        </w:rPr>
        <w:t>–</w:t>
      </w:r>
      <w:r w:rsidR="00714A97" w:rsidRPr="00F67D90">
        <w:rPr>
          <w:rFonts w:ascii="Times New Roman" w:hAnsi="Times New Roman" w:cs="Times New Roman"/>
          <w:sz w:val="24"/>
          <w:szCs w:val="24"/>
        </w:rPr>
        <w:t xml:space="preserve"> RD</w:t>
      </w:r>
      <w:r w:rsidR="00714A97" w:rsidRPr="00F67D90">
        <w:rPr>
          <w:rFonts w:ascii="Times New Roman" w:hAnsi="Times New Roman" w:cs="Times New Roman"/>
          <w:sz w:val="24"/>
          <w:szCs w:val="24"/>
          <w:vertAlign w:val="subscript"/>
        </w:rPr>
        <w:t>t-1</w:t>
      </w:r>
      <w:r w:rsidR="00714A97" w:rsidRPr="0080751D">
        <w:rPr>
          <w:rFonts w:ascii="Times New Roman" w:hAnsi="Times New Roman" w:cs="Times New Roman"/>
          <w:sz w:val="24"/>
          <w:szCs w:val="24"/>
        </w:rPr>
        <w:t>)</w:t>
      </w:r>
      <w:r w:rsidR="00F67D90" w:rsidRPr="00F67D90">
        <w:rPr>
          <w:rFonts w:ascii="Times New Roman" w:hAnsi="Times New Roman" w:cs="Times New Roman"/>
          <w:sz w:val="24"/>
          <w:szCs w:val="24"/>
        </w:rPr>
        <w:t>/Sales</w:t>
      </w:r>
      <w:r w:rsidR="00F67D90" w:rsidRPr="00F67D90">
        <w:rPr>
          <w:rFonts w:ascii="Times New Roman" w:hAnsi="Times New Roman" w:cs="Times New Roman"/>
          <w:sz w:val="24"/>
          <w:szCs w:val="24"/>
          <w:vertAlign w:val="subscript"/>
        </w:rPr>
        <w:t>t</w:t>
      </w:r>
      <w:r w:rsidR="00B11B7B">
        <w:rPr>
          <w:rFonts w:ascii="Times New Roman" w:hAnsi="Times New Roman" w:cs="Times New Roman"/>
          <w:sz w:val="24"/>
          <w:szCs w:val="24"/>
          <w:vertAlign w:val="subscript"/>
        </w:rPr>
        <w:t>-1</w:t>
      </w:r>
    </w:p>
    <w:p w14:paraId="750D72C6" w14:textId="1AF13397" w:rsidR="008C0878" w:rsidRDefault="00456846" w:rsidP="009374DB">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We choose the measures because </w:t>
      </w:r>
      <w:r w:rsidR="008C0878" w:rsidRPr="00E22CF9">
        <w:rPr>
          <w:rFonts w:ascii="Times New Roman" w:hAnsi="Times New Roman" w:cs="Times New Roman"/>
          <w:sz w:val="24"/>
          <w:szCs w:val="24"/>
        </w:rPr>
        <w:t xml:space="preserve">we are interested in </w:t>
      </w:r>
      <w:r w:rsidR="002748F1" w:rsidRPr="00E22CF9">
        <w:rPr>
          <w:rFonts w:ascii="Times New Roman" w:hAnsi="Times New Roman" w:cs="Times New Roman"/>
          <w:sz w:val="24"/>
          <w:szCs w:val="24"/>
        </w:rPr>
        <w:t xml:space="preserve">the change in </w:t>
      </w:r>
      <w:r w:rsidR="008C0878" w:rsidRPr="00E22CF9">
        <w:rPr>
          <w:rFonts w:ascii="Times New Roman" w:hAnsi="Times New Roman" w:cs="Times New Roman"/>
          <w:sz w:val="24"/>
          <w:szCs w:val="24"/>
        </w:rPr>
        <w:t xml:space="preserve">R&amp;D </w:t>
      </w:r>
      <w:r w:rsidR="002748F1" w:rsidRPr="00E22CF9">
        <w:rPr>
          <w:rFonts w:ascii="Times New Roman" w:hAnsi="Times New Roman" w:cs="Times New Roman"/>
          <w:sz w:val="24"/>
          <w:szCs w:val="24"/>
        </w:rPr>
        <w:t>expenditure</w:t>
      </w:r>
      <w:r w:rsidR="004F6956" w:rsidRPr="00E22CF9">
        <w:rPr>
          <w:rFonts w:ascii="Times New Roman" w:hAnsi="Times New Roman" w:cs="Times New Roman"/>
          <w:sz w:val="24"/>
          <w:szCs w:val="24"/>
        </w:rPr>
        <w:t xml:space="preserve">s </w:t>
      </w:r>
      <w:r w:rsidR="002748F1" w:rsidRPr="00E22CF9">
        <w:rPr>
          <w:rFonts w:ascii="Times New Roman" w:hAnsi="Times New Roman" w:cs="Times New Roman"/>
          <w:sz w:val="24"/>
          <w:szCs w:val="24"/>
        </w:rPr>
        <w:t>in</w:t>
      </w:r>
      <w:r w:rsidR="002748F1">
        <w:rPr>
          <w:rFonts w:ascii="Times New Roman" w:hAnsi="Times New Roman" w:cs="Times New Roman"/>
          <w:sz w:val="24"/>
          <w:szCs w:val="24"/>
        </w:rPr>
        <w:t xml:space="preserve"> response to the accounting switch</w:t>
      </w:r>
      <w:r w:rsidR="008C0878">
        <w:rPr>
          <w:rFonts w:ascii="Times New Roman" w:hAnsi="Times New Roman" w:cs="Times New Roman"/>
          <w:sz w:val="24"/>
          <w:szCs w:val="24"/>
        </w:rPr>
        <w:t xml:space="preserve">. Since a small value of </w:t>
      </w:r>
      <w:r w:rsidR="008C0878" w:rsidRPr="00F67D90">
        <w:rPr>
          <w:rFonts w:ascii="Times New Roman" w:hAnsi="Times New Roman" w:cs="Times New Roman"/>
          <w:sz w:val="24"/>
          <w:szCs w:val="24"/>
        </w:rPr>
        <w:t>RD</w:t>
      </w:r>
      <w:r w:rsidR="008C0878" w:rsidRPr="00F67D90">
        <w:rPr>
          <w:rFonts w:ascii="Times New Roman" w:hAnsi="Times New Roman" w:cs="Times New Roman"/>
          <w:sz w:val="24"/>
          <w:szCs w:val="24"/>
          <w:vertAlign w:val="subscript"/>
        </w:rPr>
        <w:t>t-1</w:t>
      </w:r>
      <w:r w:rsidR="008C0878">
        <w:rPr>
          <w:rFonts w:ascii="Times New Roman" w:hAnsi="Times New Roman" w:cs="Times New Roman"/>
          <w:sz w:val="24"/>
          <w:szCs w:val="24"/>
        </w:rPr>
        <w:t xml:space="preserve"> results in an extreme growth rate, we also use </w:t>
      </w:r>
      <w:r w:rsidR="002748F1">
        <w:rPr>
          <w:rFonts w:ascii="Times New Roman" w:hAnsi="Times New Roman" w:cs="Times New Roman"/>
          <w:sz w:val="24"/>
          <w:szCs w:val="24"/>
        </w:rPr>
        <w:t xml:space="preserve">two other common deflators, </w:t>
      </w:r>
      <w:r w:rsidR="008C0878">
        <w:rPr>
          <w:rFonts w:ascii="Times New Roman" w:hAnsi="Times New Roman" w:cs="Times New Roman"/>
          <w:sz w:val="24"/>
          <w:szCs w:val="24"/>
        </w:rPr>
        <w:t xml:space="preserve">beginning total assets </w:t>
      </w:r>
      <w:r w:rsidR="002748F1">
        <w:rPr>
          <w:rFonts w:ascii="Times New Roman" w:hAnsi="Times New Roman" w:cs="Times New Roman"/>
          <w:sz w:val="24"/>
          <w:szCs w:val="24"/>
        </w:rPr>
        <w:t>and sales</w:t>
      </w:r>
      <w:r w:rsidR="008C0878">
        <w:rPr>
          <w:rFonts w:ascii="Times New Roman" w:hAnsi="Times New Roman" w:cs="Times New Roman"/>
          <w:sz w:val="24"/>
          <w:szCs w:val="24"/>
        </w:rPr>
        <w:t>.</w:t>
      </w:r>
      <w:r w:rsidR="002748F1">
        <w:rPr>
          <w:rFonts w:ascii="Times New Roman" w:hAnsi="Times New Roman" w:cs="Times New Roman"/>
          <w:sz w:val="24"/>
          <w:szCs w:val="24"/>
        </w:rPr>
        <w:t xml:space="preserve"> </w:t>
      </w:r>
    </w:p>
    <w:p w14:paraId="26BE18E3" w14:textId="4CC25034" w:rsidR="00F67D90" w:rsidRPr="00F67D90" w:rsidRDefault="00F67D90" w:rsidP="009374DB">
      <w:pPr>
        <w:pStyle w:val="FootnoteText"/>
        <w:spacing w:line="480" w:lineRule="auto"/>
        <w:ind w:firstLine="567"/>
        <w:jc w:val="both"/>
        <w:rPr>
          <w:rFonts w:ascii="Times New Roman" w:hAnsi="Times New Roman" w:cs="Times New Roman"/>
          <w:sz w:val="24"/>
          <w:szCs w:val="24"/>
        </w:rPr>
      </w:pPr>
      <w:r w:rsidRPr="00F67D90">
        <w:rPr>
          <w:rFonts w:ascii="Times New Roman" w:hAnsi="Times New Roman" w:cs="Times New Roman"/>
          <w:sz w:val="24"/>
          <w:szCs w:val="24"/>
        </w:rPr>
        <w:t xml:space="preserve">Table 3 presents descriptive statistics for switchers and capitalizers during the </w:t>
      </w:r>
      <w:r w:rsidR="007802DE">
        <w:rPr>
          <w:rFonts w:ascii="Times New Roman" w:hAnsi="Times New Roman" w:cs="Times New Roman"/>
          <w:sz w:val="24"/>
          <w:szCs w:val="24"/>
        </w:rPr>
        <w:t>UK</w:t>
      </w:r>
      <w:r w:rsidRPr="00F67D90">
        <w:rPr>
          <w:rFonts w:ascii="Times New Roman" w:hAnsi="Times New Roman" w:cs="Times New Roman"/>
          <w:sz w:val="24"/>
          <w:szCs w:val="24"/>
        </w:rPr>
        <w:t xml:space="preserve"> GAAP </w:t>
      </w:r>
      <w:r w:rsidR="0028294F">
        <w:rPr>
          <w:rFonts w:ascii="Times New Roman" w:hAnsi="Times New Roman" w:cs="Times New Roman"/>
          <w:sz w:val="24"/>
          <w:szCs w:val="24"/>
        </w:rPr>
        <w:t xml:space="preserve">and </w:t>
      </w:r>
      <w:r w:rsidR="006132FE">
        <w:rPr>
          <w:rFonts w:ascii="Times New Roman" w:hAnsi="Times New Roman" w:cs="Times New Roman"/>
          <w:sz w:val="24"/>
          <w:szCs w:val="24"/>
        </w:rPr>
        <w:t>IFRS period</w:t>
      </w:r>
      <w:r w:rsidR="00967497">
        <w:rPr>
          <w:rFonts w:ascii="Times New Roman" w:hAnsi="Times New Roman" w:cs="Times New Roman"/>
          <w:sz w:val="24"/>
          <w:szCs w:val="24"/>
        </w:rPr>
        <w:t>s</w:t>
      </w:r>
      <w:r w:rsidRPr="00F67D90">
        <w:rPr>
          <w:rFonts w:ascii="Times New Roman" w:hAnsi="Times New Roman" w:cs="Times New Roman"/>
          <w:sz w:val="24"/>
          <w:szCs w:val="24"/>
        </w:rPr>
        <w:t xml:space="preserve">. The switchers (firms that expensed R&amp;D under </w:t>
      </w:r>
      <w:r w:rsidR="007802DE">
        <w:rPr>
          <w:rFonts w:ascii="Times New Roman" w:hAnsi="Times New Roman" w:cs="Times New Roman"/>
          <w:sz w:val="24"/>
          <w:szCs w:val="24"/>
        </w:rPr>
        <w:t>UK</w:t>
      </w:r>
      <w:r w:rsidRPr="00F67D90">
        <w:rPr>
          <w:rFonts w:ascii="Times New Roman" w:hAnsi="Times New Roman" w:cs="Times New Roman"/>
          <w:sz w:val="24"/>
          <w:szCs w:val="24"/>
        </w:rPr>
        <w:t xml:space="preserve"> GAAP) are larger than firms that capitalized, based on share price, market value, sales, and assets. These differences are important, because they mean that we must control for size in our regressions. </w:t>
      </w:r>
      <w:r w:rsidR="00967497">
        <w:rPr>
          <w:rFonts w:ascii="Times New Roman" w:hAnsi="Times New Roman" w:cs="Times New Roman"/>
          <w:sz w:val="24"/>
          <w:szCs w:val="24"/>
        </w:rPr>
        <w:t xml:space="preserve">The differences in the R&amp;D </w:t>
      </w:r>
      <w:r w:rsidR="00095A6D">
        <w:rPr>
          <w:rFonts w:ascii="Times New Roman" w:hAnsi="Times New Roman" w:cs="Times New Roman"/>
          <w:sz w:val="24"/>
          <w:szCs w:val="24"/>
        </w:rPr>
        <w:t xml:space="preserve">growth </w:t>
      </w:r>
      <w:r w:rsidR="00967497">
        <w:rPr>
          <w:rFonts w:ascii="Times New Roman" w:hAnsi="Times New Roman" w:cs="Times New Roman"/>
          <w:sz w:val="24"/>
          <w:szCs w:val="24"/>
        </w:rPr>
        <w:t xml:space="preserve">measures during the UK GAAP period are largely insignificant, </w:t>
      </w:r>
      <w:r w:rsidR="00095A6D">
        <w:rPr>
          <w:rFonts w:ascii="Times New Roman" w:hAnsi="Times New Roman" w:cs="Times New Roman"/>
          <w:sz w:val="24"/>
          <w:szCs w:val="24"/>
        </w:rPr>
        <w:t>implying that the two groups had similar R&amp;D behavior. However, switchers had great</w:t>
      </w:r>
      <w:r w:rsidR="00AE15EA">
        <w:rPr>
          <w:rFonts w:ascii="Times New Roman" w:hAnsi="Times New Roman" w:cs="Times New Roman"/>
          <w:sz w:val="24"/>
          <w:szCs w:val="24"/>
        </w:rPr>
        <w:t>er</w:t>
      </w:r>
      <w:r w:rsidR="00095A6D">
        <w:rPr>
          <w:rFonts w:ascii="Times New Roman" w:hAnsi="Times New Roman" w:cs="Times New Roman"/>
          <w:sz w:val="24"/>
          <w:szCs w:val="24"/>
        </w:rPr>
        <w:t xml:space="preserve"> R&amp;D growth in the IFRS period, consistent with the accounting change inducing their increased R&amp;D investments.  </w:t>
      </w:r>
      <w:r w:rsidR="003359DD">
        <w:rPr>
          <w:rFonts w:ascii="Times New Roman" w:hAnsi="Times New Roman" w:cs="Times New Roman"/>
          <w:sz w:val="24"/>
          <w:szCs w:val="24"/>
        </w:rPr>
        <w:t xml:space="preserve">Capitalizers capitalize </w:t>
      </w:r>
      <w:r w:rsidR="00095A6D">
        <w:rPr>
          <w:rFonts w:ascii="Times New Roman" w:hAnsi="Times New Roman" w:cs="Times New Roman"/>
          <w:sz w:val="24"/>
          <w:szCs w:val="24"/>
        </w:rPr>
        <w:t>a greater percentage of the R&amp;D expenditures</w:t>
      </w:r>
      <w:r w:rsidR="00B060EB">
        <w:rPr>
          <w:rFonts w:ascii="Times New Roman" w:hAnsi="Times New Roman" w:cs="Times New Roman"/>
          <w:sz w:val="24"/>
          <w:szCs w:val="24"/>
        </w:rPr>
        <w:t>.</w:t>
      </w:r>
      <w:r w:rsidR="00095A6D">
        <w:rPr>
          <w:rFonts w:ascii="Times New Roman" w:hAnsi="Times New Roman" w:cs="Times New Roman"/>
          <w:sz w:val="24"/>
          <w:szCs w:val="24"/>
        </w:rPr>
        <w:t xml:space="preserve"> </w:t>
      </w:r>
      <w:r w:rsidR="003359DD">
        <w:rPr>
          <w:rFonts w:ascii="Times New Roman" w:hAnsi="Times New Roman" w:cs="Times New Roman"/>
          <w:sz w:val="24"/>
          <w:szCs w:val="24"/>
        </w:rPr>
        <w:t xml:space="preserve">This may be due to the different mix of research vs development expenditures, since only the latter may be capitalized. </w:t>
      </w:r>
      <w:r w:rsidR="000D22C3" w:rsidRPr="000D22C3">
        <w:rPr>
          <w:rFonts w:ascii="Times New Roman" w:hAnsi="Times New Roman" w:cs="Times New Roman"/>
          <w:sz w:val="24"/>
          <w:szCs w:val="24"/>
        </w:rPr>
        <w:t>Since our Logit model</w:t>
      </w:r>
      <w:r w:rsidR="00EF1B6F">
        <w:rPr>
          <w:rFonts w:ascii="Times New Roman" w:hAnsi="Times New Roman" w:cs="Times New Roman"/>
          <w:sz w:val="24"/>
          <w:szCs w:val="24"/>
        </w:rPr>
        <w:t xml:space="preserve"> (below)</w:t>
      </w:r>
      <w:r w:rsidR="000D22C3" w:rsidRPr="000D22C3">
        <w:rPr>
          <w:rFonts w:ascii="Times New Roman" w:hAnsi="Times New Roman" w:cs="Times New Roman"/>
          <w:sz w:val="24"/>
          <w:szCs w:val="24"/>
        </w:rPr>
        <w:t xml:space="preserve"> shows that the firms in the two groups are different, </w:t>
      </w:r>
      <w:r w:rsidR="00AA28BF">
        <w:rPr>
          <w:rFonts w:ascii="Times New Roman" w:hAnsi="Times New Roman" w:cs="Times New Roman"/>
          <w:sz w:val="24"/>
          <w:szCs w:val="24"/>
        </w:rPr>
        <w:t>it is not necessarily the case</w:t>
      </w:r>
      <w:r w:rsidR="00AA28BF" w:rsidRPr="000D22C3">
        <w:rPr>
          <w:rFonts w:ascii="Times New Roman" w:hAnsi="Times New Roman" w:cs="Times New Roman"/>
          <w:sz w:val="24"/>
          <w:szCs w:val="24"/>
        </w:rPr>
        <w:t xml:space="preserve"> </w:t>
      </w:r>
      <w:r w:rsidR="000D22C3" w:rsidRPr="000D22C3">
        <w:rPr>
          <w:rFonts w:ascii="Times New Roman" w:hAnsi="Times New Roman" w:cs="Times New Roman"/>
          <w:sz w:val="24"/>
          <w:szCs w:val="24"/>
        </w:rPr>
        <w:t>that they have similar R&amp;D expenditures or intensity.</w:t>
      </w:r>
      <w:r w:rsidR="000D22C3">
        <w:rPr>
          <w:rFonts w:ascii="Times New Roman" w:hAnsi="Times New Roman" w:cs="Times New Roman"/>
          <w:sz w:val="24"/>
          <w:szCs w:val="24"/>
        </w:rPr>
        <w:t xml:space="preserve"> </w:t>
      </w:r>
      <w:r w:rsidR="00C26BCD" w:rsidRPr="003922EE">
        <w:rPr>
          <w:rFonts w:ascii="Times New Roman" w:hAnsi="Times New Roman" w:cs="Times New Roman"/>
          <w:sz w:val="24"/>
          <w:szCs w:val="24"/>
        </w:rPr>
        <w:t xml:space="preserve">Since the dependent variables have outliers, we </w:t>
      </w:r>
      <w:r w:rsidR="0028294F">
        <w:rPr>
          <w:rFonts w:ascii="Times New Roman" w:hAnsi="Times New Roman" w:cs="Times New Roman"/>
          <w:sz w:val="24"/>
          <w:szCs w:val="24"/>
        </w:rPr>
        <w:t>winsoriz</w:t>
      </w:r>
      <w:r w:rsidR="007C02FB">
        <w:rPr>
          <w:rFonts w:ascii="Times New Roman" w:hAnsi="Times New Roman" w:cs="Times New Roman"/>
          <w:sz w:val="24"/>
          <w:szCs w:val="24"/>
        </w:rPr>
        <w:t>e</w:t>
      </w:r>
      <w:r w:rsidR="00C26BCD" w:rsidRPr="003922EE">
        <w:rPr>
          <w:rFonts w:ascii="Times New Roman" w:hAnsi="Times New Roman" w:cs="Times New Roman"/>
          <w:sz w:val="24"/>
          <w:szCs w:val="24"/>
        </w:rPr>
        <w:t xml:space="preserve"> the top </w:t>
      </w:r>
      <w:r w:rsidR="0028294F">
        <w:rPr>
          <w:rFonts w:ascii="Times New Roman" w:hAnsi="Times New Roman" w:cs="Times New Roman"/>
          <w:sz w:val="24"/>
          <w:szCs w:val="24"/>
        </w:rPr>
        <w:t xml:space="preserve">and bottom </w:t>
      </w:r>
      <w:r w:rsidR="00C26BCD" w:rsidRPr="003922EE">
        <w:rPr>
          <w:rFonts w:ascii="Times New Roman" w:hAnsi="Times New Roman" w:cs="Times New Roman"/>
          <w:sz w:val="24"/>
          <w:szCs w:val="24"/>
        </w:rPr>
        <w:t xml:space="preserve">2.5% in </w:t>
      </w:r>
      <w:r w:rsidR="00E71D4F">
        <w:rPr>
          <w:rFonts w:ascii="Times New Roman" w:hAnsi="Times New Roman" w:cs="Times New Roman"/>
          <w:sz w:val="24"/>
          <w:szCs w:val="24"/>
        </w:rPr>
        <w:t>all of our empirical analyses.</w:t>
      </w:r>
      <w:r w:rsidR="00C26BCD" w:rsidRPr="003922EE" w:rsidDel="003922EE">
        <w:rPr>
          <w:rStyle w:val="FootnoteReference"/>
          <w:rFonts w:ascii="Times New Roman" w:hAnsi="Times New Roman" w:cs="Times New Roman"/>
          <w:sz w:val="24"/>
          <w:szCs w:val="24"/>
        </w:rPr>
        <w:t xml:space="preserve"> </w:t>
      </w:r>
    </w:p>
    <w:p w14:paraId="55286AC4" w14:textId="2F3B5B1B" w:rsidR="00CF1A25" w:rsidRPr="00182FAB" w:rsidRDefault="00CF1A25" w:rsidP="007D0B97">
      <w:pPr>
        <w:pStyle w:val="ListParagraph"/>
        <w:numPr>
          <w:ilvl w:val="0"/>
          <w:numId w:val="8"/>
        </w:numPr>
        <w:tabs>
          <w:tab w:val="left" w:pos="360"/>
        </w:tabs>
        <w:spacing w:after="0" w:line="480" w:lineRule="auto"/>
        <w:ind w:left="0" w:firstLine="0"/>
        <w:rPr>
          <w:rFonts w:ascii="Times New Roman" w:hAnsi="Times New Roman" w:cs="Times New Roman"/>
          <w:b/>
          <w:sz w:val="24"/>
          <w:szCs w:val="24"/>
        </w:rPr>
      </w:pPr>
      <w:r w:rsidRPr="00182FAB">
        <w:rPr>
          <w:rFonts w:ascii="Times New Roman" w:hAnsi="Times New Roman" w:cs="Times New Roman"/>
          <w:b/>
          <w:sz w:val="24"/>
          <w:szCs w:val="24"/>
        </w:rPr>
        <w:t xml:space="preserve">Firms’ Choices to Capitalize vs Expense </w:t>
      </w:r>
      <w:r w:rsidR="00182FAB">
        <w:rPr>
          <w:rFonts w:ascii="Times New Roman" w:hAnsi="Times New Roman" w:cs="Times New Roman"/>
          <w:b/>
          <w:sz w:val="24"/>
          <w:szCs w:val="24"/>
        </w:rPr>
        <w:t xml:space="preserve">R&amp;D </w:t>
      </w:r>
      <w:r w:rsidRPr="00182FAB">
        <w:rPr>
          <w:rFonts w:ascii="Times New Roman" w:hAnsi="Times New Roman" w:cs="Times New Roman"/>
          <w:b/>
          <w:sz w:val="24"/>
          <w:szCs w:val="24"/>
        </w:rPr>
        <w:t>Under UK GAAP</w:t>
      </w:r>
    </w:p>
    <w:p w14:paraId="745AB9C5" w14:textId="6DAC91A8" w:rsidR="009D53B8" w:rsidRDefault="00EF7D1B" w:rsidP="009374DB">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this section, we address </w:t>
      </w:r>
      <w:r w:rsidR="00772F61">
        <w:rPr>
          <w:rFonts w:ascii="Times New Roman" w:hAnsi="Times New Roman" w:cs="Times New Roman"/>
          <w:sz w:val="24"/>
          <w:szCs w:val="24"/>
        </w:rPr>
        <w:t xml:space="preserve">an important </w:t>
      </w:r>
      <w:r>
        <w:rPr>
          <w:rFonts w:ascii="Times New Roman" w:hAnsi="Times New Roman" w:cs="Times New Roman"/>
          <w:sz w:val="24"/>
          <w:szCs w:val="24"/>
        </w:rPr>
        <w:t xml:space="preserve">issue that </w:t>
      </w:r>
      <w:r w:rsidR="00AE783F">
        <w:rPr>
          <w:rFonts w:ascii="Times New Roman" w:hAnsi="Times New Roman" w:cs="Times New Roman"/>
          <w:sz w:val="24"/>
          <w:szCs w:val="24"/>
        </w:rPr>
        <w:t>underlie</w:t>
      </w:r>
      <w:r w:rsidR="00772F61">
        <w:rPr>
          <w:rFonts w:ascii="Times New Roman" w:hAnsi="Times New Roman" w:cs="Times New Roman"/>
          <w:sz w:val="24"/>
          <w:szCs w:val="24"/>
        </w:rPr>
        <w:t>s</w:t>
      </w:r>
      <w:r w:rsidR="00AE783F">
        <w:rPr>
          <w:rFonts w:ascii="Times New Roman" w:hAnsi="Times New Roman" w:cs="Times New Roman"/>
          <w:sz w:val="24"/>
          <w:szCs w:val="24"/>
        </w:rPr>
        <w:t xml:space="preserve"> </w:t>
      </w:r>
      <w:r>
        <w:rPr>
          <w:rFonts w:ascii="Times New Roman" w:hAnsi="Times New Roman" w:cs="Times New Roman"/>
          <w:sz w:val="24"/>
          <w:szCs w:val="24"/>
        </w:rPr>
        <w:t>our analyses: i</w:t>
      </w:r>
      <w:r w:rsidR="00F23F4D">
        <w:rPr>
          <w:rFonts w:ascii="Times New Roman" w:hAnsi="Times New Roman" w:cs="Times New Roman"/>
          <w:sz w:val="24"/>
          <w:szCs w:val="24"/>
        </w:rPr>
        <w:t xml:space="preserve">f </w:t>
      </w:r>
      <w:r w:rsidR="00CF1A25">
        <w:rPr>
          <w:rFonts w:ascii="Times New Roman" w:hAnsi="Times New Roman" w:cs="Times New Roman"/>
          <w:sz w:val="24"/>
          <w:szCs w:val="24"/>
        </w:rPr>
        <w:t xml:space="preserve">capitalization </w:t>
      </w:r>
      <w:r w:rsidR="00F23F4D">
        <w:rPr>
          <w:rFonts w:ascii="Times New Roman" w:hAnsi="Times New Roman" w:cs="Times New Roman"/>
          <w:sz w:val="24"/>
          <w:szCs w:val="24"/>
        </w:rPr>
        <w:t xml:space="preserve">improves net income, </w:t>
      </w:r>
      <w:r w:rsidR="00CF1A25">
        <w:rPr>
          <w:rFonts w:ascii="Times New Roman" w:hAnsi="Times New Roman" w:cs="Times New Roman"/>
          <w:sz w:val="24"/>
          <w:szCs w:val="24"/>
        </w:rPr>
        <w:t xml:space="preserve">why some firms did not capitalize under UK GAAP, when they had the option to do so and could have reaped the benefits before </w:t>
      </w:r>
      <w:r w:rsidR="0022731D">
        <w:rPr>
          <w:rFonts w:ascii="Times New Roman" w:hAnsi="Times New Roman" w:cs="Times New Roman"/>
          <w:sz w:val="24"/>
          <w:szCs w:val="24"/>
        </w:rPr>
        <w:t xml:space="preserve">the switch to </w:t>
      </w:r>
      <w:r w:rsidR="00CF1A25">
        <w:rPr>
          <w:rFonts w:ascii="Times New Roman" w:hAnsi="Times New Roman" w:cs="Times New Roman"/>
          <w:sz w:val="24"/>
          <w:szCs w:val="24"/>
        </w:rPr>
        <w:t>IFRS. To understand firms’ decision</w:t>
      </w:r>
      <w:r w:rsidR="007B1057">
        <w:rPr>
          <w:rFonts w:ascii="Times New Roman" w:hAnsi="Times New Roman" w:cs="Times New Roman"/>
          <w:sz w:val="24"/>
          <w:szCs w:val="24"/>
        </w:rPr>
        <w:t xml:space="preserve"> to expense or capitalize R&amp;D</w:t>
      </w:r>
      <w:r w:rsidR="00CF1A25">
        <w:rPr>
          <w:rFonts w:ascii="Times New Roman" w:hAnsi="Times New Roman" w:cs="Times New Roman"/>
          <w:sz w:val="24"/>
          <w:szCs w:val="24"/>
        </w:rPr>
        <w:t xml:space="preserve"> before mandatory capitalization, we t</w:t>
      </w:r>
      <w:r w:rsidR="006316AC">
        <w:rPr>
          <w:rFonts w:ascii="Times New Roman" w:hAnsi="Times New Roman" w:cs="Times New Roman"/>
          <w:sz w:val="24"/>
          <w:szCs w:val="24"/>
        </w:rPr>
        <w:t>ook</w:t>
      </w:r>
      <w:r w:rsidR="00182FAB">
        <w:rPr>
          <w:rFonts w:ascii="Times New Roman" w:hAnsi="Times New Roman" w:cs="Times New Roman"/>
          <w:sz w:val="24"/>
          <w:szCs w:val="24"/>
        </w:rPr>
        <w:t xml:space="preserve"> </w:t>
      </w:r>
      <w:r w:rsidR="00EE20D5">
        <w:rPr>
          <w:rFonts w:ascii="Times New Roman" w:hAnsi="Times New Roman" w:cs="Times New Roman"/>
          <w:sz w:val="24"/>
          <w:szCs w:val="24"/>
        </w:rPr>
        <w:t>four</w:t>
      </w:r>
      <w:r w:rsidR="00182FAB">
        <w:rPr>
          <w:rFonts w:ascii="Times New Roman" w:hAnsi="Times New Roman" w:cs="Times New Roman"/>
          <w:sz w:val="24"/>
          <w:szCs w:val="24"/>
        </w:rPr>
        <w:t xml:space="preserve"> </w:t>
      </w:r>
      <w:r w:rsidR="00CF1A25">
        <w:rPr>
          <w:rFonts w:ascii="Times New Roman" w:hAnsi="Times New Roman" w:cs="Times New Roman"/>
          <w:sz w:val="24"/>
          <w:szCs w:val="24"/>
        </w:rPr>
        <w:t xml:space="preserve">approaches. </w:t>
      </w:r>
    </w:p>
    <w:p w14:paraId="503CCE79" w14:textId="142D3376" w:rsidR="00BE77C7" w:rsidRDefault="009637F4" w:rsidP="009374DB">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First</w:t>
      </w:r>
      <w:r w:rsidR="00BE77C7">
        <w:rPr>
          <w:rFonts w:ascii="Times New Roman" w:hAnsi="Times New Roman" w:cs="Times New Roman"/>
          <w:sz w:val="24"/>
          <w:szCs w:val="24"/>
        </w:rPr>
        <w:t xml:space="preserve">, we spoke with a former senior technical partner from PwC, who pointed out that capitalization was seen as a sign of weakness, deleterious to the market’s perception of a firm’s financial strength: if the balance sheet was strong and earnings were good and stable, there was no need to capitalize. He also pointed out that the decision was influenced by industry membership, either because different types of development expenditures did or did not meet the requirements for capitalization, or because of the market’s negative perception of capitalization if industry peers expensed. He agreed that if a firm chose to expense R&amp;D, it might spend less </w:t>
      </w:r>
      <w:r w:rsidR="00FC6A94">
        <w:rPr>
          <w:rFonts w:ascii="Times New Roman" w:hAnsi="Times New Roman" w:cs="Times New Roman"/>
          <w:sz w:val="24"/>
          <w:szCs w:val="24"/>
        </w:rPr>
        <w:t xml:space="preserve">on R&amp;D </w:t>
      </w:r>
      <w:r w:rsidR="00BE77C7">
        <w:rPr>
          <w:rFonts w:ascii="Times New Roman" w:hAnsi="Times New Roman" w:cs="Times New Roman"/>
          <w:sz w:val="24"/>
          <w:szCs w:val="24"/>
        </w:rPr>
        <w:t xml:space="preserve">to meet earnings targets, and then upon switching to capitalization it would increase its </w:t>
      </w:r>
      <w:r w:rsidR="00FC6A94">
        <w:rPr>
          <w:rFonts w:ascii="Times New Roman" w:hAnsi="Times New Roman" w:cs="Times New Roman"/>
          <w:sz w:val="24"/>
          <w:szCs w:val="24"/>
        </w:rPr>
        <w:t xml:space="preserve">R&amp;D </w:t>
      </w:r>
      <w:r w:rsidR="00BE77C7">
        <w:rPr>
          <w:rFonts w:ascii="Times New Roman" w:hAnsi="Times New Roman" w:cs="Times New Roman"/>
          <w:sz w:val="24"/>
          <w:szCs w:val="24"/>
        </w:rPr>
        <w:t xml:space="preserve">spending, since the extra costs did not hit the income statement. </w:t>
      </w:r>
      <w:r w:rsidR="00BE77C7" w:rsidRPr="008B2E3C">
        <w:rPr>
          <w:rFonts w:ascii="Times New Roman" w:hAnsi="Times New Roman" w:cs="Times New Roman"/>
          <w:sz w:val="24"/>
          <w:szCs w:val="24"/>
        </w:rPr>
        <w:t xml:space="preserve">In this view, </w:t>
      </w:r>
      <w:r w:rsidR="00BE77C7">
        <w:rPr>
          <w:rFonts w:ascii="Times New Roman" w:hAnsi="Times New Roman" w:cs="Times New Roman"/>
          <w:sz w:val="24"/>
          <w:szCs w:val="24"/>
        </w:rPr>
        <w:t xml:space="preserve">firms are concerned about the negative signal about financial strength from voluntary capitalization, and </w:t>
      </w:r>
      <w:r w:rsidR="00BE77C7" w:rsidRPr="008B2E3C">
        <w:rPr>
          <w:rFonts w:ascii="Times New Roman" w:hAnsi="Times New Roman" w:cs="Times New Roman"/>
          <w:sz w:val="24"/>
          <w:szCs w:val="24"/>
        </w:rPr>
        <w:t>mandatory capitalization does not create the negative perception that voluntary capitalization does.</w:t>
      </w:r>
      <w:r w:rsidR="00BE77C7">
        <w:rPr>
          <w:rFonts w:ascii="Times New Roman" w:hAnsi="Times New Roman" w:cs="Times New Roman"/>
          <w:sz w:val="24"/>
          <w:szCs w:val="24"/>
        </w:rPr>
        <w:t xml:space="preserve"> </w:t>
      </w:r>
      <w:r w:rsidR="000349A7">
        <w:rPr>
          <w:rFonts w:ascii="Times New Roman" w:hAnsi="Times New Roman" w:cs="Times New Roman"/>
          <w:sz w:val="24"/>
          <w:szCs w:val="24"/>
        </w:rPr>
        <w:t xml:space="preserve">So, firms that switched to capitalization under IFRS experienced an increase in spending on R&amp;D. </w:t>
      </w:r>
    </w:p>
    <w:p w14:paraId="4A288321" w14:textId="76C79F4F" w:rsidR="002B0B6D" w:rsidRDefault="000349A7" w:rsidP="009374DB">
      <w:pPr>
        <w:spacing w:after="0" w:line="480" w:lineRule="auto"/>
        <w:ind w:firstLine="567"/>
        <w:jc w:val="both"/>
        <w:rPr>
          <w:rFonts w:ascii="Times New Roman" w:hAnsi="Times New Roman" w:cs="Times New Roman"/>
          <w:sz w:val="24"/>
          <w:szCs w:val="24"/>
          <w:vertAlign w:val="superscript"/>
        </w:rPr>
      </w:pPr>
      <w:r>
        <w:rPr>
          <w:rFonts w:ascii="Times New Roman" w:hAnsi="Times New Roman" w:cs="Times New Roman"/>
          <w:sz w:val="24"/>
          <w:szCs w:val="24"/>
        </w:rPr>
        <w:t>The PwC partner’s signaling point is consistent with the common arguments in the large theoretical literature</w:t>
      </w:r>
      <w:r w:rsidRPr="00957F6B">
        <w:rPr>
          <w:rFonts w:ascii="Times New Roman" w:hAnsi="Times New Roman" w:cs="Times New Roman"/>
          <w:sz w:val="24"/>
          <w:szCs w:val="24"/>
        </w:rPr>
        <w:t xml:space="preserve"> </w:t>
      </w:r>
      <w:r>
        <w:rPr>
          <w:rFonts w:ascii="Times New Roman" w:hAnsi="Times New Roman" w:cs="Times New Roman"/>
          <w:sz w:val="24"/>
          <w:szCs w:val="24"/>
        </w:rPr>
        <w:t>on signaling. One particular theoretical paper that is immediately applicable to our study of the expense/capitalization choice and its relation to earnings is Bagnoli and Watts (2005). In Bagnoli and Watts (2005) a firm, which is better informed than the market about its type (high or low type), has to choose between more or less conservative financial reporting policies. The firm cares about the market</w:t>
      </w:r>
      <w:r w:rsidR="00FF0C27">
        <w:rPr>
          <w:rFonts w:ascii="Times New Roman" w:hAnsi="Times New Roman" w:cs="Times New Roman"/>
          <w:sz w:val="24"/>
          <w:szCs w:val="24"/>
        </w:rPr>
        <w:t>’s</w:t>
      </w:r>
      <w:r>
        <w:rPr>
          <w:rFonts w:ascii="Times New Roman" w:hAnsi="Times New Roman" w:cs="Times New Roman"/>
          <w:sz w:val="24"/>
          <w:szCs w:val="24"/>
        </w:rPr>
        <w:t xml:space="preserve"> belief about its type. The market forms its beliefs about the firm’s type based on both the firm’s reported earnings and the firm’s accounting choice. Choosing a conservative accounting policy is a costly signal by the firm, because it lowers a firm’s reported earnings. Low type firms who choose conservative accounting are more likely to miss an earnings benchmark, and hence, the cost of choosing a conservative accounting is higher for low type firms tha</w:t>
      </w:r>
      <w:r w:rsidR="00EE07A8">
        <w:rPr>
          <w:rFonts w:ascii="Times New Roman" w:hAnsi="Times New Roman" w:cs="Times New Roman"/>
          <w:sz w:val="24"/>
          <w:szCs w:val="24"/>
        </w:rPr>
        <w:t>n</w:t>
      </w:r>
      <w:r>
        <w:rPr>
          <w:rFonts w:ascii="Times New Roman" w:hAnsi="Times New Roman" w:cs="Times New Roman"/>
          <w:sz w:val="24"/>
          <w:szCs w:val="24"/>
        </w:rPr>
        <w:t xml:space="preserve"> for high type firms. Thus, in equilibrium only firms who believe they are a sufficiently high type choose the conservative accounting </w:t>
      </w:r>
      <w:r w:rsidR="000D48E6">
        <w:rPr>
          <w:rFonts w:ascii="Times New Roman" w:hAnsi="Times New Roman" w:cs="Times New Roman"/>
          <w:sz w:val="24"/>
          <w:szCs w:val="24"/>
        </w:rPr>
        <w:t>policy</w:t>
      </w:r>
      <w:r>
        <w:rPr>
          <w:rFonts w:ascii="Times New Roman" w:hAnsi="Times New Roman" w:cs="Times New Roman"/>
          <w:sz w:val="24"/>
          <w:szCs w:val="24"/>
        </w:rPr>
        <w:t>. In our setting, conservative accounting is expens</w:t>
      </w:r>
      <w:r w:rsidR="000D48E6">
        <w:rPr>
          <w:rFonts w:ascii="Times New Roman" w:hAnsi="Times New Roman" w:cs="Times New Roman"/>
          <w:sz w:val="24"/>
          <w:szCs w:val="24"/>
        </w:rPr>
        <w:t xml:space="preserve">ing, </w:t>
      </w:r>
      <w:r>
        <w:rPr>
          <w:rFonts w:ascii="Times New Roman" w:hAnsi="Times New Roman" w:cs="Times New Roman"/>
          <w:sz w:val="24"/>
          <w:szCs w:val="24"/>
        </w:rPr>
        <w:t>rather than capitaliz</w:t>
      </w:r>
      <w:r w:rsidR="000D48E6">
        <w:rPr>
          <w:rFonts w:ascii="Times New Roman" w:hAnsi="Times New Roman" w:cs="Times New Roman"/>
          <w:sz w:val="24"/>
          <w:szCs w:val="24"/>
        </w:rPr>
        <w:t>ing,</w:t>
      </w:r>
      <w:r>
        <w:rPr>
          <w:rFonts w:ascii="Times New Roman" w:hAnsi="Times New Roman" w:cs="Times New Roman"/>
          <w:sz w:val="24"/>
          <w:szCs w:val="24"/>
        </w:rPr>
        <w:t xml:space="preserve"> R&amp;D. Similar to Bagnoli and Watts’ model, no firm knows its type for sure (R&amp;D is risky and </w:t>
      </w:r>
      <w:r w:rsidRPr="00965CD9">
        <w:rPr>
          <w:rFonts w:ascii="Times New Roman" w:hAnsi="Times New Roman" w:cs="Times New Roman"/>
          <w:i/>
          <w:iCs/>
          <w:sz w:val="24"/>
          <w:szCs w:val="24"/>
        </w:rPr>
        <w:t>ex-post</w:t>
      </w:r>
      <w:r>
        <w:rPr>
          <w:rFonts w:ascii="Times New Roman" w:hAnsi="Times New Roman" w:cs="Times New Roman"/>
          <w:sz w:val="24"/>
          <w:szCs w:val="24"/>
        </w:rPr>
        <w:t xml:space="preserve"> even firms that believe they are good may have failed projects and report disappointing earnings), but firms that believe they are sufficiently high (low) type </w:t>
      </w:r>
      <w:r w:rsidRPr="00965CD9">
        <w:rPr>
          <w:rFonts w:ascii="Times New Roman" w:hAnsi="Times New Roman" w:cs="Times New Roman"/>
          <w:i/>
          <w:iCs/>
          <w:sz w:val="24"/>
          <w:szCs w:val="24"/>
        </w:rPr>
        <w:t>ex-ante</w:t>
      </w:r>
      <w:r>
        <w:rPr>
          <w:rFonts w:ascii="Times New Roman" w:hAnsi="Times New Roman" w:cs="Times New Roman"/>
          <w:sz w:val="24"/>
          <w:szCs w:val="24"/>
        </w:rPr>
        <w:t xml:space="preserve"> are more likely to cho</w:t>
      </w:r>
      <w:r w:rsidR="000D48E6">
        <w:rPr>
          <w:rFonts w:ascii="Times New Roman" w:hAnsi="Times New Roman" w:cs="Times New Roman"/>
          <w:sz w:val="24"/>
          <w:szCs w:val="24"/>
        </w:rPr>
        <w:t>o</w:t>
      </w:r>
      <w:r>
        <w:rPr>
          <w:rFonts w:ascii="Times New Roman" w:hAnsi="Times New Roman" w:cs="Times New Roman"/>
          <w:sz w:val="24"/>
          <w:szCs w:val="24"/>
        </w:rPr>
        <w:t>se expensing (capitalization).</w:t>
      </w:r>
      <w:r>
        <w:rPr>
          <w:rStyle w:val="FootnoteReference"/>
          <w:rFonts w:ascii="Times New Roman" w:hAnsi="Times New Roman" w:cs="Times New Roman"/>
          <w:sz w:val="24"/>
          <w:szCs w:val="24"/>
        </w:rPr>
        <w:footnoteReference w:id="12"/>
      </w:r>
    </w:p>
    <w:p w14:paraId="646C28C3" w14:textId="4C75E212" w:rsidR="00C4165B" w:rsidRDefault="00150380" w:rsidP="009374DB">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Second</w:t>
      </w:r>
      <w:r w:rsidR="00CF1A25">
        <w:rPr>
          <w:rFonts w:ascii="Times New Roman" w:hAnsi="Times New Roman" w:cs="Times New Roman"/>
          <w:sz w:val="24"/>
          <w:szCs w:val="24"/>
        </w:rPr>
        <w:t xml:space="preserve">, we analyzed </w:t>
      </w:r>
      <w:r w:rsidR="003404CD">
        <w:rPr>
          <w:rFonts w:ascii="Times New Roman" w:hAnsi="Times New Roman" w:cs="Times New Roman"/>
          <w:sz w:val="24"/>
          <w:szCs w:val="24"/>
        </w:rPr>
        <w:t xml:space="preserve">71 </w:t>
      </w:r>
      <w:r w:rsidR="00CF1A25">
        <w:rPr>
          <w:rFonts w:ascii="Times New Roman" w:hAnsi="Times New Roman" w:cs="Times New Roman"/>
          <w:sz w:val="24"/>
          <w:szCs w:val="24"/>
        </w:rPr>
        <w:t xml:space="preserve">firms’ comment letters </w:t>
      </w:r>
      <w:r w:rsidR="003404CD">
        <w:rPr>
          <w:rFonts w:ascii="Times New Roman" w:hAnsi="Times New Roman" w:cs="Times New Roman"/>
          <w:sz w:val="24"/>
          <w:szCs w:val="24"/>
        </w:rPr>
        <w:t xml:space="preserve">sent </w:t>
      </w:r>
      <w:r w:rsidR="00CF1A25">
        <w:rPr>
          <w:rFonts w:ascii="Times New Roman" w:hAnsi="Times New Roman" w:cs="Times New Roman"/>
          <w:sz w:val="24"/>
          <w:szCs w:val="24"/>
        </w:rPr>
        <w:t xml:space="preserve">to </w:t>
      </w:r>
      <w:r w:rsidR="003404CD">
        <w:rPr>
          <w:rFonts w:ascii="Times New Roman" w:hAnsi="Times New Roman" w:cs="Times New Roman"/>
          <w:sz w:val="24"/>
          <w:szCs w:val="24"/>
        </w:rPr>
        <w:t>both the Accounting Standards Committee</w:t>
      </w:r>
      <w:r w:rsidR="006C0A84">
        <w:rPr>
          <w:rFonts w:ascii="Times New Roman" w:hAnsi="Times New Roman" w:cs="Times New Roman"/>
          <w:sz w:val="24"/>
          <w:szCs w:val="24"/>
        </w:rPr>
        <w:t xml:space="preserve"> (ASC)</w:t>
      </w:r>
      <w:r w:rsidR="003404CD">
        <w:rPr>
          <w:rFonts w:ascii="Times New Roman" w:hAnsi="Times New Roman" w:cs="Times New Roman"/>
          <w:sz w:val="24"/>
          <w:szCs w:val="24"/>
        </w:rPr>
        <w:t xml:space="preserve"> in</w:t>
      </w:r>
      <w:r w:rsidR="00961F84">
        <w:rPr>
          <w:rFonts w:ascii="Times New Roman" w:hAnsi="Times New Roman" w:cs="Times New Roman"/>
          <w:sz w:val="24"/>
          <w:szCs w:val="24"/>
        </w:rPr>
        <w:t xml:space="preserve"> the </w:t>
      </w:r>
      <w:r w:rsidR="007802DE">
        <w:rPr>
          <w:rFonts w:ascii="Times New Roman" w:hAnsi="Times New Roman" w:cs="Times New Roman"/>
          <w:sz w:val="24"/>
          <w:szCs w:val="24"/>
        </w:rPr>
        <w:t>UK</w:t>
      </w:r>
      <w:r w:rsidR="00961F84">
        <w:rPr>
          <w:rFonts w:ascii="Times New Roman" w:hAnsi="Times New Roman" w:cs="Times New Roman"/>
          <w:sz w:val="24"/>
          <w:szCs w:val="24"/>
        </w:rPr>
        <w:t xml:space="preserve"> and to the International Accounting Standards Committee (IASC)</w:t>
      </w:r>
      <w:r w:rsidR="00362DA4">
        <w:rPr>
          <w:rFonts w:ascii="Times New Roman" w:hAnsi="Times New Roman" w:cs="Times New Roman"/>
          <w:sz w:val="24"/>
          <w:szCs w:val="24"/>
        </w:rPr>
        <w:t>.</w:t>
      </w:r>
      <w:r w:rsidR="00362DA4">
        <w:rPr>
          <w:rStyle w:val="FootnoteReference"/>
          <w:rFonts w:ascii="Times New Roman" w:hAnsi="Times New Roman" w:cs="Times New Roman"/>
          <w:sz w:val="24"/>
          <w:szCs w:val="24"/>
        </w:rPr>
        <w:footnoteReference w:id="13"/>
      </w:r>
      <w:r w:rsidR="00CF1A25">
        <w:rPr>
          <w:rFonts w:ascii="Times New Roman" w:hAnsi="Times New Roman" w:cs="Times New Roman"/>
          <w:sz w:val="24"/>
          <w:szCs w:val="24"/>
        </w:rPr>
        <w:t xml:space="preserve"> </w:t>
      </w:r>
      <w:r w:rsidR="002F2642">
        <w:rPr>
          <w:rFonts w:ascii="Times New Roman" w:hAnsi="Times New Roman" w:cs="Times New Roman"/>
          <w:sz w:val="24"/>
          <w:szCs w:val="24"/>
        </w:rPr>
        <w:t>Most importantly, s</w:t>
      </w:r>
      <w:r w:rsidR="00C94A6A">
        <w:rPr>
          <w:rFonts w:ascii="Times New Roman" w:hAnsi="Times New Roman" w:cs="Times New Roman"/>
          <w:sz w:val="24"/>
          <w:szCs w:val="24"/>
        </w:rPr>
        <w:t>ome firms</w:t>
      </w:r>
      <w:r w:rsidR="00CF1A25">
        <w:rPr>
          <w:rFonts w:ascii="Times New Roman" w:hAnsi="Times New Roman" w:cs="Times New Roman"/>
          <w:sz w:val="24"/>
          <w:szCs w:val="24"/>
        </w:rPr>
        <w:t xml:space="preserve"> are clearly concerned about the effect of expensing on profitability, consistent with the arguments cited above</w:t>
      </w:r>
      <w:r w:rsidR="00225869">
        <w:rPr>
          <w:rFonts w:ascii="Times New Roman" w:hAnsi="Times New Roman" w:cs="Times New Roman"/>
          <w:sz w:val="24"/>
          <w:szCs w:val="24"/>
        </w:rPr>
        <w:t>, that the mechanism</w:t>
      </w:r>
      <w:r w:rsidR="00B1682C">
        <w:rPr>
          <w:rFonts w:ascii="Times New Roman" w:hAnsi="Times New Roman" w:cs="Times New Roman"/>
          <w:sz w:val="24"/>
          <w:szCs w:val="24"/>
        </w:rPr>
        <w:t xml:space="preserve"> through which R&amp;D accounting affects expenditures is through income</w:t>
      </w:r>
      <w:r w:rsidR="00CF1A25">
        <w:rPr>
          <w:rFonts w:ascii="Times New Roman" w:hAnsi="Times New Roman" w:cs="Times New Roman"/>
          <w:sz w:val="24"/>
          <w:szCs w:val="24"/>
        </w:rPr>
        <w:t xml:space="preserve">. </w:t>
      </w:r>
      <w:r w:rsidR="002642F8">
        <w:rPr>
          <w:rFonts w:ascii="Times New Roman" w:hAnsi="Times New Roman" w:cs="Times New Roman"/>
          <w:sz w:val="24"/>
          <w:szCs w:val="24"/>
        </w:rPr>
        <w:t xml:space="preserve">For example, Westland Aircraft Limited commented that “… to do so [expense] may well distort the annual profits, because expenditure of this sort is not incurred evenly.”  Bonas Webb Limited commented “…a company’s annual results could be effected by high annual write offs in respect of research and development expenditure giving an uneven trend of profits over a period of time.” Finally, Hawker Siddeley Group Limited commented “The position could well arise that UK companies would be constrained from entering into new major developments because of a write off requirement, which would certainly not be to the country’s advantage.” </w:t>
      </w:r>
      <w:r w:rsidR="00C94A6A">
        <w:rPr>
          <w:rFonts w:ascii="Times New Roman" w:hAnsi="Times New Roman" w:cs="Times New Roman"/>
          <w:sz w:val="24"/>
          <w:szCs w:val="24"/>
        </w:rPr>
        <w:t xml:space="preserve">However, </w:t>
      </w:r>
      <w:r w:rsidR="002B61E0">
        <w:rPr>
          <w:rFonts w:ascii="Times New Roman" w:hAnsi="Times New Roman" w:cs="Times New Roman"/>
          <w:sz w:val="24"/>
          <w:szCs w:val="24"/>
        </w:rPr>
        <w:t xml:space="preserve">some </w:t>
      </w:r>
      <w:r w:rsidR="00C94A6A">
        <w:rPr>
          <w:rFonts w:ascii="Times New Roman" w:hAnsi="Times New Roman" w:cs="Times New Roman"/>
          <w:sz w:val="24"/>
          <w:szCs w:val="24"/>
        </w:rPr>
        <w:t xml:space="preserve">firms </w:t>
      </w:r>
      <w:r w:rsidR="002B61E0">
        <w:rPr>
          <w:rFonts w:ascii="Times New Roman" w:hAnsi="Times New Roman" w:cs="Times New Roman"/>
          <w:sz w:val="24"/>
          <w:szCs w:val="24"/>
        </w:rPr>
        <w:t xml:space="preserve">raised concerns about the conditions for capitalization. </w:t>
      </w:r>
      <w:r w:rsidR="00C94A6A">
        <w:rPr>
          <w:rFonts w:ascii="Times New Roman" w:hAnsi="Times New Roman" w:cs="Times New Roman"/>
          <w:sz w:val="24"/>
          <w:szCs w:val="24"/>
        </w:rPr>
        <w:t xml:space="preserve"> </w:t>
      </w:r>
      <w:r w:rsidR="002B61E0">
        <w:rPr>
          <w:rFonts w:ascii="Times New Roman" w:hAnsi="Times New Roman" w:cs="Times New Roman"/>
          <w:sz w:val="24"/>
          <w:szCs w:val="24"/>
        </w:rPr>
        <w:t>For example, Royal Dutch/Shell Group suggest conditions should be stringent making capitalization unlikely; Unilever raise</w:t>
      </w:r>
      <w:r w:rsidR="009D53B8">
        <w:rPr>
          <w:rFonts w:ascii="Times New Roman" w:hAnsi="Times New Roman" w:cs="Times New Roman"/>
          <w:sz w:val="24"/>
          <w:szCs w:val="24"/>
        </w:rPr>
        <w:t>d</w:t>
      </w:r>
      <w:r w:rsidR="002B61E0">
        <w:rPr>
          <w:rFonts w:ascii="Times New Roman" w:hAnsi="Times New Roman" w:cs="Times New Roman"/>
          <w:sz w:val="24"/>
          <w:szCs w:val="24"/>
        </w:rPr>
        <w:t xml:space="preserve"> concerns about different applications of the standard making comparability difficult. These comments </w:t>
      </w:r>
      <w:r w:rsidR="0022044D">
        <w:rPr>
          <w:rFonts w:ascii="Times New Roman" w:hAnsi="Times New Roman" w:cs="Times New Roman"/>
          <w:sz w:val="24"/>
          <w:szCs w:val="24"/>
        </w:rPr>
        <w:t xml:space="preserve">favor expensing. </w:t>
      </w:r>
      <w:r w:rsidR="006C0A84">
        <w:rPr>
          <w:rFonts w:ascii="Times New Roman" w:hAnsi="Times New Roman" w:cs="Times New Roman"/>
          <w:sz w:val="24"/>
          <w:szCs w:val="24"/>
        </w:rPr>
        <w:t xml:space="preserve">Additionally, </w:t>
      </w:r>
      <w:r w:rsidR="00837C11">
        <w:rPr>
          <w:rFonts w:ascii="Times New Roman" w:hAnsi="Times New Roman" w:cs="Times New Roman"/>
          <w:sz w:val="24"/>
          <w:szCs w:val="24"/>
        </w:rPr>
        <w:t>Tricentrol International Limited state</w:t>
      </w:r>
      <w:r w:rsidR="0022044D">
        <w:rPr>
          <w:rFonts w:ascii="Times New Roman" w:hAnsi="Times New Roman" w:cs="Times New Roman"/>
          <w:sz w:val="24"/>
          <w:szCs w:val="24"/>
        </w:rPr>
        <w:t>s</w:t>
      </w:r>
      <w:r w:rsidR="00837C11">
        <w:rPr>
          <w:rFonts w:ascii="Times New Roman" w:hAnsi="Times New Roman" w:cs="Times New Roman"/>
          <w:sz w:val="24"/>
          <w:szCs w:val="24"/>
        </w:rPr>
        <w:t xml:space="preserve"> “…[the definitions of capitalization impose] insoluble problems for firms of auditors”, suggesting a concern about potential </w:t>
      </w:r>
      <w:r w:rsidR="006C0A84">
        <w:rPr>
          <w:rFonts w:ascii="Times New Roman" w:hAnsi="Times New Roman" w:cs="Times New Roman"/>
          <w:sz w:val="24"/>
          <w:szCs w:val="24"/>
        </w:rPr>
        <w:t xml:space="preserve">costs associated with capitalizing, again favoring expensing. </w:t>
      </w:r>
      <w:r w:rsidR="008F059E">
        <w:rPr>
          <w:rFonts w:ascii="Times New Roman" w:hAnsi="Times New Roman" w:cs="Times New Roman"/>
          <w:sz w:val="24"/>
          <w:szCs w:val="24"/>
        </w:rPr>
        <w:t xml:space="preserve">Overall, our inference from these </w:t>
      </w:r>
      <w:r w:rsidR="002F43AA">
        <w:rPr>
          <w:rFonts w:ascii="Times New Roman" w:hAnsi="Times New Roman" w:cs="Times New Roman"/>
          <w:sz w:val="24"/>
          <w:szCs w:val="24"/>
        </w:rPr>
        <w:t xml:space="preserve">comment </w:t>
      </w:r>
      <w:r w:rsidR="008F059E">
        <w:rPr>
          <w:rFonts w:ascii="Times New Roman" w:hAnsi="Times New Roman" w:cs="Times New Roman"/>
          <w:sz w:val="24"/>
          <w:szCs w:val="24"/>
        </w:rPr>
        <w:t>letters is that for some firms, the profit motive is dominant, so they</w:t>
      </w:r>
      <w:r w:rsidR="00D37964">
        <w:rPr>
          <w:rFonts w:ascii="Times New Roman" w:hAnsi="Times New Roman" w:cs="Times New Roman"/>
          <w:sz w:val="24"/>
          <w:szCs w:val="24"/>
        </w:rPr>
        <w:t xml:space="preserve"> prefer capitalization. </w:t>
      </w:r>
      <w:r w:rsidR="005C6A09">
        <w:rPr>
          <w:rFonts w:ascii="Times New Roman" w:hAnsi="Times New Roman" w:cs="Times New Roman"/>
          <w:sz w:val="24"/>
          <w:szCs w:val="24"/>
        </w:rPr>
        <w:t>O</w:t>
      </w:r>
      <w:r w:rsidR="008F059E">
        <w:rPr>
          <w:rFonts w:ascii="Times New Roman" w:hAnsi="Times New Roman" w:cs="Times New Roman"/>
          <w:sz w:val="24"/>
          <w:szCs w:val="24"/>
        </w:rPr>
        <w:t>ther firms</w:t>
      </w:r>
      <w:r w:rsidR="005C6A09">
        <w:rPr>
          <w:rFonts w:ascii="Times New Roman" w:hAnsi="Times New Roman" w:cs="Times New Roman"/>
          <w:sz w:val="24"/>
          <w:szCs w:val="24"/>
        </w:rPr>
        <w:t xml:space="preserve"> are more concerned about</w:t>
      </w:r>
      <w:r w:rsidR="008F059E">
        <w:rPr>
          <w:rFonts w:ascii="Times New Roman" w:hAnsi="Times New Roman" w:cs="Times New Roman"/>
          <w:sz w:val="24"/>
          <w:szCs w:val="24"/>
        </w:rPr>
        <w:t xml:space="preserve"> </w:t>
      </w:r>
      <w:r w:rsidR="0022044D">
        <w:rPr>
          <w:rFonts w:ascii="Times New Roman" w:hAnsi="Times New Roman" w:cs="Times New Roman"/>
          <w:sz w:val="24"/>
          <w:szCs w:val="24"/>
        </w:rPr>
        <w:t>the difficulty of capitalization</w:t>
      </w:r>
      <w:r w:rsidR="00D37964">
        <w:rPr>
          <w:rFonts w:ascii="Times New Roman" w:hAnsi="Times New Roman" w:cs="Times New Roman"/>
          <w:sz w:val="24"/>
          <w:szCs w:val="24"/>
        </w:rPr>
        <w:t xml:space="preserve">, so they favor expensing. </w:t>
      </w:r>
    </w:p>
    <w:p w14:paraId="3D0F38E2" w14:textId="26103088" w:rsidR="00C4165B" w:rsidRPr="00B036E5" w:rsidRDefault="00C4165B" w:rsidP="00B56BAD">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Third, </w:t>
      </w:r>
      <w:r w:rsidRPr="00B036E5">
        <w:rPr>
          <w:rFonts w:ascii="Times New Roman" w:hAnsi="Times New Roman" w:cs="Times New Roman"/>
          <w:sz w:val="24"/>
          <w:szCs w:val="24"/>
        </w:rPr>
        <w:t xml:space="preserve">we examined all </w:t>
      </w:r>
      <w:r>
        <w:rPr>
          <w:rFonts w:ascii="Times New Roman" w:hAnsi="Times New Roman" w:cs="Times New Roman"/>
          <w:sz w:val="24"/>
          <w:szCs w:val="24"/>
        </w:rPr>
        <w:t xml:space="preserve">UK firms with R&amp;D data </w:t>
      </w:r>
      <w:r w:rsidRPr="00B036E5">
        <w:rPr>
          <w:rFonts w:ascii="Times New Roman" w:hAnsi="Times New Roman" w:cs="Times New Roman"/>
          <w:sz w:val="24"/>
          <w:szCs w:val="24"/>
        </w:rPr>
        <w:t xml:space="preserve">from 1990-2004 to determine </w:t>
      </w:r>
      <w:r>
        <w:rPr>
          <w:rFonts w:ascii="Times New Roman" w:hAnsi="Times New Roman" w:cs="Times New Roman"/>
          <w:sz w:val="24"/>
          <w:szCs w:val="24"/>
        </w:rPr>
        <w:t>whether they</w:t>
      </w:r>
      <w:r w:rsidRPr="00B036E5">
        <w:rPr>
          <w:rFonts w:ascii="Times New Roman" w:hAnsi="Times New Roman" w:cs="Times New Roman"/>
          <w:sz w:val="24"/>
          <w:szCs w:val="24"/>
        </w:rPr>
        <w:t xml:space="preserve"> switched either from capitalizing to expensing, or from expensing to capitalizing. During this time</w:t>
      </w:r>
      <w:r w:rsidR="004C1155">
        <w:rPr>
          <w:rFonts w:ascii="Times New Roman" w:hAnsi="Times New Roman" w:cs="Times New Roman"/>
          <w:sz w:val="24"/>
          <w:szCs w:val="24"/>
        </w:rPr>
        <w:t xml:space="preserve"> </w:t>
      </w:r>
      <w:r w:rsidRPr="00B036E5">
        <w:rPr>
          <w:rFonts w:ascii="Times New Roman" w:hAnsi="Times New Roman" w:cs="Times New Roman"/>
          <w:sz w:val="24"/>
          <w:szCs w:val="24"/>
        </w:rPr>
        <w:t xml:space="preserve">period, we identified 38 (25) firms </w:t>
      </w:r>
      <w:r>
        <w:rPr>
          <w:rFonts w:ascii="Times New Roman" w:hAnsi="Times New Roman" w:cs="Times New Roman"/>
          <w:sz w:val="24"/>
          <w:szCs w:val="24"/>
        </w:rPr>
        <w:t xml:space="preserve">that </w:t>
      </w:r>
      <w:r w:rsidRPr="00B036E5">
        <w:rPr>
          <w:rFonts w:ascii="Times New Roman" w:hAnsi="Times New Roman" w:cs="Times New Roman"/>
          <w:sz w:val="24"/>
          <w:szCs w:val="24"/>
        </w:rPr>
        <w:t>switched from capitalizing to expensing (expensing to capitalizing). To determine the</w:t>
      </w:r>
      <w:r>
        <w:rPr>
          <w:rFonts w:ascii="Times New Roman" w:hAnsi="Times New Roman" w:cs="Times New Roman"/>
          <w:sz w:val="24"/>
          <w:szCs w:val="24"/>
        </w:rPr>
        <w:t xml:space="preserve"> </w:t>
      </w:r>
      <w:r w:rsidRPr="00B036E5">
        <w:rPr>
          <w:rFonts w:ascii="Times New Roman" w:hAnsi="Times New Roman" w:cs="Times New Roman"/>
          <w:sz w:val="24"/>
          <w:szCs w:val="24"/>
        </w:rPr>
        <w:t>li</w:t>
      </w:r>
      <w:r>
        <w:rPr>
          <w:rFonts w:ascii="Times New Roman" w:hAnsi="Times New Roman" w:cs="Times New Roman"/>
          <w:sz w:val="24"/>
          <w:szCs w:val="24"/>
        </w:rPr>
        <w:t xml:space="preserve">nk between the switch and profitability, we </w:t>
      </w:r>
      <w:r w:rsidRPr="00B036E5">
        <w:rPr>
          <w:rFonts w:ascii="Times New Roman" w:hAnsi="Times New Roman" w:cs="Times New Roman"/>
          <w:sz w:val="24"/>
          <w:szCs w:val="24"/>
        </w:rPr>
        <w:t>calculated the percentage change in reported net income in the last two years of their original accounting choice</w:t>
      </w:r>
      <w:r w:rsidR="00B56BAD">
        <w:rPr>
          <w:rFonts w:ascii="Times New Roman" w:hAnsi="Times New Roman" w:cs="Times New Roman"/>
          <w:sz w:val="24"/>
          <w:szCs w:val="24"/>
        </w:rPr>
        <w:t>:</w:t>
      </w:r>
    </w:p>
    <w:tbl>
      <w:tblPr>
        <w:tblW w:w="9564" w:type="dxa"/>
        <w:jc w:val="center"/>
        <w:tblLook w:val="04A0" w:firstRow="1" w:lastRow="0" w:firstColumn="1" w:lastColumn="0" w:noHBand="0" w:noVBand="1"/>
      </w:tblPr>
      <w:tblGrid>
        <w:gridCol w:w="2796"/>
        <w:gridCol w:w="3236"/>
        <w:gridCol w:w="296"/>
        <w:gridCol w:w="3236"/>
      </w:tblGrid>
      <w:tr w:rsidR="00C4165B" w:rsidRPr="007A0D5A" w14:paraId="37E8284E" w14:textId="3C18E4EC" w:rsidTr="009374DB">
        <w:trPr>
          <w:trHeight w:val="315"/>
          <w:jc w:val="center"/>
        </w:trPr>
        <w:tc>
          <w:tcPr>
            <w:tcW w:w="2796" w:type="dxa"/>
            <w:tcBorders>
              <w:top w:val="nil"/>
              <w:left w:val="nil"/>
              <w:bottom w:val="nil"/>
              <w:right w:val="nil"/>
            </w:tcBorders>
            <w:shd w:val="clear" w:color="auto" w:fill="auto"/>
            <w:noWrap/>
            <w:vAlign w:val="bottom"/>
          </w:tcPr>
          <w:p w14:paraId="0C0603BB" w14:textId="7682AC02" w:rsidR="00C4165B" w:rsidRPr="007A0D5A" w:rsidRDefault="00C4165B" w:rsidP="00B56BAD">
            <w:pPr>
              <w:spacing w:after="0" w:line="240" w:lineRule="auto"/>
              <w:rPr>
                <w:rFonts w:ascii="Times New Roman" w:eastAsia="Times New Roman" w:hAnsi="Times New Roman" w:cs="Times New Roman"/>
                <w:color w:val="000000"/>
                <w:sz w:val="24"/>
                <w:szCs w:val="24"/>
                <w:lang w:eastAsia="en-GB"/>
              </w:rPr>
            </w:pPr>
          </w:p>
        </w:tc>
        <w:tc>
          <w:tcPr>
            <w:tcW w:w="3236" w:type="dxa"/>
            <w:tcBorders>
              <w:top w:val="nil"/>
              <w:left w:val="nil"/>
              <w:bottom w:val="nil"/>
              <w:right w:val="nil"/>
            </w:tcBorders>
            <w:shd w:val="clear" w:color="auto" w:fill="auto"/>
            <w:noWrap/>
            <w:vAlign w:val="bottom"/>
          </w:tcPr>
          <w:p w14:paraId="5DC9D74D" w14:textId="7AA04F1E" w:rsidR="00C4165B" w:rsidRPr="008E6219" w:rsidRDefault="00C4165B" w:rsidP="00B56BAD">
            <w:pPr>
              <w:spacing w:after="0" w:line="240" w:lineRule="auto"/>
              <w:jc w:val="center"/>
              <w:rPr>
                <w:rFonts w:ascii="Times New Roman" w:eastAsia="Times New Roman" w:hAnsi="Times New Roman" w:cs="Times New Roman"/>
                <w:color w:val="000000"/>
                <w:sz w:val="24"/>
                <w:szCs w:val="24"/>
                <w:u w:val="single"/>
                <w:lang w:eastAsia="en-GB"/>
              </w:rPr>
            </w:pPr>
            <w:r w:rsidRPr="008E6219">
              <w:rPr>
                <w:rFonts w:ascii="Times New Roman" w:eastAsia="Times New Roman" w:hAnsi="Times New Roman" w:cs="Times New Roman"/>
                <w:color w:val="000000"/>
                <w:sz w:val="24"/>
                <w:szCs w:val="24"/>
                <w:u w:val="single"/>
                <w:lang w:eastAsia="en-GB"/>
              </w:rPr>
              <w:t>Capitalizing</w:t>
            </w:r>
            <w:r>
              <w:rPr>
                <w:rFonts w:ascii="Times New Roman" w:eastAsia="Times New Roman" w:hAnsi="Times New Roman" w:cs="Times New Roman"/>
                <w:color w:val="000000"/>
                <w:sz w:val="24"/>
                <w:szCs w:val="24"/>
                <w:u w:val="single"/>
                <w:lang w:eastAsia="en-GB"/>
              </w:rPr>
              <w:t xml:space="preserve"> to Expensing</w:t>
            </w:r>
          </w:p>
        </w:tc>
        <w:tc>
          <w:tcPr>
            <w:tcW w:w="296" w:type="dxa"/>
            <w:tcBorders>
              <w:top w:val="nil"/>
              <w:left w:val="nil"/>
              <w:bottom w:val="nil"/>
              <w:right w:val="nil"/>
            </w:tcBorders>
            <w:shd w:val="clear" w:color="auto" w:fill="auto"/>
            <w:noWrap/>
            <w:vAlign w:val="bottom"/>
          </w:tcPr>
          <w:p w14:paraId="235591EC" w14:textId="73082E0D" w:rsidR="00C4165B" w:rsidRPr="007A0D5A" w:rsidRDefault="00C4165B" w:rsidP="00B56BAD">
            <w:pPr>
              <w:spacing w:after="0" w:line="240" w:lineRule="auto"/>
              <w:jc w:val="center"/>
              <w:rPr>
                <w:rFonts w:ascii="Times New Roman" w:eastAsia="Times New Roman" w:hAnsi="Times New Roman" w:cs="Times New Roman"/>
                <w:color w:val="000000"/>
                <w:sz w:val="24"/>
                <w:szCs w:val="24"/>
                <w:lang w:eastAsia="en-GB"/>
              </w:rPr>
            </w:pPr>
          </w:p>
        </w:tc>
        <w:tc>
          <w:tcPr>
            <w:tcW w:w="3236" w:type="dxa"/>
            <w:tcBorders>
              <w:top w:val="nil"/>
              <w:left w:val="nil"/>
              <w:bottom w:val="nil"/>
              <w:right w:val="nil"/>
            </w:tcBorders>
            <w:shd w:val="clear" w:color="auto" w:fill="auto"/>
            <w:noWrap/>
            <w:vAlign w:val="bottom"/>
          </w:tcPr>
          <w:p w14:paraId="24CBC242" w14:textId="54CF9F23" w:rsidR="00C4165B" w:rsidRPr="003A2A63" w:rsidRDefault="00C4165B" w:rsidP="00B56BAD">
            <w:pPr>
              <w:spacing w:after="0" w:line="240" w:lineRule="auto"/>
              <w:jc w:val="center"/>
              <w:rPr>
                <w:rFonts w:ascii="Times New Roman" w:eastAsia="Times New Roman" w:hAnsi="Times New Roman" w:cs="Times New Roman"/>
                <w:color w:val="000000"/>
                <w:sz w:val="24"/>
                <w:szCs w:val="24"/>
                <w:u w:val="single"/>
                <w:lang w:eastAsia="en-GB"/>
              </w:rPr>
            </w:pPr>
            <w:r w:rsidRPr="003A2A63">
              <w:rPr>
                <w:rFonts w:ascii="Times New Roman" w:eastAsia="Times New Roman" w:hAnsi="Times New Roman" w:cs="Times New Roman"/>
                <w:color w:val="000000"/>
                <w:sz w:val="24"/>
                <w:szCs w:val="24"/>
                <w:u w:val="single"/>
                <w:lang w:eastAsia="en-GB"/>
              </w:rPr>
              <w:t>Expensing to Capitalizing</w:t>
            </w:r>
          </w:p>
        </w:tc>
      </w:tr>
      <w:tr w:rsidR="00C4165B" w:rsidRPr="007A0D5A" w14:paraId="1EB303DD" w14:textId="0CED475A" w:rsidTr="009374DB">
        <w:trPr>
          <w:trHeight w:val="315"/>
          <w:jc w:val="center"/>
        </w:trPr>
        <w:tc>
          <w:tcPr>
            <w:tcW w:w="2796" w:type="dxa"/>
            <w:tcBorders>
              <w:top w:val="nil"/>
              <w:left w:val="nil"/>
              <w:bottom w:val="nil"/>
              <w:right w:val="nil"/>
            </w:tcBorders>
            <w:shd w:val="clear" w:color="auto" w:fill="auto"/>
            <w:noWrap/>
            <w:vAlign w:val="bottom"/>
            <w:hideMark/>
          </w:tcPr>
          <w:p w14:paraId="605F195E" w14:textId="4CC479B3" w:rsidR="00C4165B" w:rsidRPr="007A0D5A" w:rsidRDefault="00C4165B" w:rsidP="00B56BAD">
            <w:pPr>
              <w:spacing w:after="0" w:line="240" w:lineRule="auto"/>
              <w:rPr>
                <w:rFonts w:ascii="Times New Roman" w:eastAsia="Times New Roman" w:hAnsi="Times New Roman" w:cs="Times New Roman"/>
                <w:color w:val="000000"/>
                <w:sz w:val="24"/>
                <w:szCs w:val="24"/>
                <w:lang w:eastAsia="en-GB"/>
              </w:rPr>
            </w:pPr>
            <w:r w:rsidRPr="007A0D5A">
              <w:rPr>
                <w:rFonts w:ascii="Times New Roman" w:eastAsia="Times New Roman" w:hAnsi="Times New Roman" w:cs="Times New Roman"/>
                <w:color w:val="000000"/>
                <w:sz w:val="24"/>
                <w:szCs w:val="24"/>
                <w:lang w:eastAsia="en-GB"/>
              </w:rPr>
              <w:t>Number of Firms</w:t>
            </w:r>
          </w:p>
        </w:tc>
        <w:tc>
          <w:tcPr>
            <w:tcW w:w="3236" w:type="dxa"/>
            <w:tcBorders>
              <w:top w:val="nil"/>
              <w:left w:val="nil"/>
              <w:bottom w:val="nil"/>
              <w:right w:val="nil"/>
            </w:tcBorders>
            <w:shd w:val="clear" w:color="auto" w:fill="auto"/>
            <w:noWrap/>
            <w:vAlign w:val="bottom"/>
            <w:hideMark/>
          </w:tcPr>
          <w:p w14:paraId="3B5D0D9B" w14:textId="763ED8C0" w:rsidR="00C4165B" w:rsidRPr="007A0D5A" w:rsidRDefault="00C4165B" w:rsidP="00B56BAD">
            <w:pPr>
              <w:spacing w:after="0" w:line="240" w:lineRule="auto"/>
              <w:jc w:val="center"/>
              <w:rPr>
                <w:rFonts w:ascii="Times New Roman" w:eastAsia="Times New Roman" w:hAnsi="Times New Roman" w:cs="Times New Roman"/>
                <w:color w:val="000000"/>
                <w:sz w:val="24"/>
                <w:szCs w:val="24"/>
                <w:lang w:eastAsia="en-GB"/>
              </w:rPr>
            </w:pPr>
            <w:r w:rsidRPr="007A0D5A">
              <w:rPr>
                <w:rFonts w:ascii="Times New Roman" w:eastAsia="Times New Roman" w:hAnsi="Times New Roman" w:cs="Times New Roman"/>
                <w:color w:val="000000"/>
                <w:sz w:val="24"/>
                <w:szCs w:val="24"/>
                <w:lang w:eastAsia="en-GB"/>
              </w:rPr>
              <w:t>38</w:t>
            </w:r>
          </w:p>
        </w:tc>
        <w:tc>
          <w:tcPr>
            <w:tcW w:w="296" w:type="dxa"/>
            <w:tcBorders>
              <w:top w:val="nil"/>
              <w:left w:val="nil"/>
              <w:bottom w:val="nil"/>
              <w:right w:val="nil"/>
            </w:tcBorders>
            <w:shd w:val="clear" w:color="auto" w:fill="auto"/>
            <w:noWrap/>
            <w:vAlign w:val="bottom"/>
            <w:hideMark/>
          </w:tcPr>
          <w:p w14:paraId="7BDFC0B5" w14:textId="640E2AC5" w:rsidR="00C4165B" w:rsidRPr="007A0D5A" w:rsidRDefault="00C4165B" w:rsidP="00B56BAD">
            <w:pPr>
              <w:spacing w:after="0" w:line="240" w:lineRule="auto"/>
              <w:jc w:val="center"/>
              <w:rPr>
                <w:rFonts w:ascii="Times New Roman" w:eastAsia="Times New Roman" w:hAnsi="Times New Roman" w:cs="Times New Roman"/>
                <w:color w:val="000000"/>
                <w:sz w:val="24"/>
                <w:szCs w:val="24"/>
                <w:lang w:eastAsia="en-GB"/>
              </w:rPr>
            </w:pPr>
          </w:p>
        </w:tc>
        <w:tc>
          <w:tcPr>
            <w:tcW w:w="3236" w:type="dxa"/>
            <w:tcBorders>
              <w:top w:val="nil"/>
              <w:left w:val="nil"/>
              <w:bottom w:val="nil"/>
              <w:right w:val="nil"/>
            </w:tcBorders>
            <w:shd w:val="clear" w:color="auto" w:fill="auto"/>
            <w:noWrap/>
            <w:vAlign w:val="bottom"/>
            <w:hideMark/>
          </w:tcPr>
          <w:p w14:paraId="51F0D1F2" w14:textId="1F655151" w:rsidR="00C4165B" w:rsidRPr="007A0D5A" w:rsidRDefault="00C4165B" w:rsidP="00B56BAD">
            <w:pPr>
              <w:spacing w:after="0" w:line="240" w:lineRule="auto"/>
              <w:jc w:val="center"/>
              <w:rPr>
                <w:rFonts w:ascii="Times New Roman" w:eastAsia="Times New Roman" w:hAnsi="Times New Roman" w:cs="Times New Roman"/>
                <w:color w:val="000000"/>
                <w:sz w:val="24"/>
                <w:szCs w:val="24"/>
                <w:lang w:eastAsia="en-GB"/>
              </w:rPr>
            </w:pPr>
            <w:r w:rsidRPr="007A0D5A">
              <w:rPr>
                <w:rFonts w:ascii="Times New Roman" w:eastAsia="Times New Roman" w:hAnsi="Times New Roman" w:cs="Times New Roman"/>
                <w:color w:val="000000"/>
                <w:sz w:val="24"/>
                <w:szCs w:val="24"/>
                <w:lang w:eastAsia="en-GB"/>
              </w:rPr>
              <w:t>25</w:t>
            </w:r>
          </w:p>
        </w:tc>
      </w:tr>
      <w:tr w:rsidR="00C4165B" w:rsidRPr="007A0D5A" w14:paraId="10709A4B" w14:textId="693E846E" w:rsidTr="009374DB">
        <w:trPr>
          <w:trHeight w:val="315"/>
          <w:jc w:val="center"/>
        </w:trPr>
        <w:tc>
          <w:tcPr>
            <w:tcW w:w="2796" w:type="dxa"/>
            <w:tcBorders>
              <w:top w:val="nil"/>
              <w:left w:val="nil"/>
              <w:bottom w:val="nil"/>
              <w:right w:val="nil"/>
            </w:tcBorders>
            <w:shd w:val="clear" w:color="auto" w:fill="auto"/>
            <w:noWrap/>
            <w:vAlign w:val="bottom"/>
            <w:hideMark/>
          </w:tcPr>
          <w:p w14:paraId="54A7EBAF" w14:textId="10AC1AD2" w:rsidR="00C4165B" w:rsidRPr="007A0D5A" w:rsidRDefault="00C4165B" w:rsidP="00B56BAD">
            <w:pPr>
              <w:spacing w:after="0" w:line="240" w:lineRule="auto"/>
              <w:rPr>
                <w:rFonts w:ascii="Times New Roman" w:eastAsia="Times New Roman" w:hAnsi="Times New Roman" w:cs="Times New Roman"/>
                <w:color w:val="000000"/>
                <w:sz w:val="24"/>
                <w:szCs w:val="24"/>
                <w:lang w:eastAsia="en-GB"/>
              </w:rPr>
            </w:pPr>
            <w:r w:rsidRPr="007A0D5A">
              <w:rPr>
                <w:rFonts w:ascii="Times New Roman" w:eastAsia="Times New Roman" w:hAnsi="Times New Roman" w:cs="Times New Roman"/>
                <w:color w:val="000000"/>
                <w:sz w:val="24"/>
                <w:szCs w:val="24"/>
                <w:lang w:eastAsia="en-GB"/>
              </w:rPr>
              <w:t>Median % Ch</w:t>
            </w:r>
            <w:r>
              <w:rPr>
                <w:rFonts w:ascii="Times New Roman" w:eastAsia="Times New Roman" w:hAnsi="Times New Roman" w:cs="Times New Roman"/>
                <w:color w:val="000000"/>
                <w:sz w:val="24"/>
                <w:szCs w:val="24"/>
                <w:lang w:eastAsia="en-GB"/>
              </w:rPr>
              <w:t>an</w:t>
            </w:r>
            <w:r w:rsidRPr="007A0D5A">
              <w:rPr>
                <w:rFonts w:ascii="Times New Roman" w:eastAsia="Times New Roman" w:hAnsi="Times New Roman" w:cs="Times New Roman"/>
                <w:color w:val="000000"/>
                <w:sz w:val="24"/>
                <w:szCs w:val="24"/>
                <w:lang w:eastAsia="en-GB"/>
              </w:rPr>
              <w:t>g</w:t>
            </w:r>
            <w:r>
              <w:rPr>
                <w:rFonts w:ascii="Times New Roman" w:eastAsia="Times New Roman" w:hAnsi="Times New Roman" w:cs="Times New Roman"/>
                <w:color w:val="000000"/>
                <w:sz w:val="24"/>
                <w:szCs w:val="24"/>
                <w:lang w:eastAsia="en-GB"/>
              </w:rPr>
              <w:t>e</w:t>
            </w:r>
            <w:r w:rsidRPr="007A0D5A">
              <w:rPr>
                <w:rFonts w:ascii="Times New Roman" w:eastAsia="Times New Roman" w:hAnsi="Times New Roman" w:cs="Times New Roman"/>
                <w:color w:val="000000"/>
                <w:sz w:val="24"/>
                <w:szCs w:val="24"/>
                <w:lang w:eastAsia="en-GB"/>
              </w:rPr>
              <w:t xml:space="preserve"> in NI</w:t>
            </w:r>
          </w:p>
        </w:tc>
        <w:tc>
          <w:tcPr>
            <w:tcW w:w="3236" w:type="dxa"/>
            <w:tcBorders>
              <w:top w:val="nil"/>
              <w:left w:val="nil"/>
              <w:bottom w:val="nil"/>
              <w:right w:val="nil"/>
            </w:tcBorders>
            <w:shd w:val="clear" w:color="auto" w:fill="auto"/>
            <w:noWrap/>
            <w:vAlign w:val="bottom"/>
            <w:hideMark/>
          </w:tcPr>
          <w:p w14:paraId="49096D78" w14:textId="16F56257" w:rsidR="00C4165B" w:rsidRPr="007A0D5A" w:rsidRDefault="00C4165B" w:rsidP="00B56BAD">
            <w:pPr>
              <w:spacing w:after="0" w:line="240" w:lineRule="auto"/>
              <w:jc w:val="center"/>
              <w:rPr>
                <w:rFonts w:ascii="Times New Roman" w:eastAsia="Times New Roman" w:hAnsi="Times New Roman" w:cs="Times New Roman"/>
                <w:color w:val="000000"/>
                <w:sz w:val="24"/>
                <w:szCs w:val="24"/>
                <w:lang w:eastAsia="en-GB"/>
              </w:rPr>
            </w:pPr>
            <w:r w:rsidRPr="007A0D5A">
              <w:rPr>
                <w:rFonts w:ascii="Times New Roman" w:eastAsia="Times New Roman" w:hAnsi="Times New Roman" w:cs="Times New Roman"/>
                <w:color w:val="000000"/>
                <w:sz w:val="24"/>
                <w:szCs w:val="24"/>
                <w:lang w:eastAsia="en-GB"/>
              </w:rPr>
              <w:t>2.46%</w:t>
            </w:r>
          </w:p>
        </w:tc>
        <w:tc>
          <w:tcPr>
            <w:tcW w:w="296" w:type="dxa"/>
            <w:tcBorders>
              <w:top w:val="nil"/>
              <w:left w:val="nil"/>
              <w:bottom w:val="nil"/>
              <w:right w:val="nil"/>
            </w:tcBorders>
            <w:shd w:val="clear" w:color="auto" w:fill="auto"/>
            <w:noWrap/>
            <w:vAlign w:val="bottom"/>
            <w:hideMark/>
          </w:tcPr>
          <w:p w14:paraId="09B966B8" w14:textId="5ECA67DD" w:rsidR="00C4165B" w:rsidRPr="007A0D5A" w:rsidRDefault="00C4165B" w:rsidP="00B56BAD">
            <w:pPr>
              <w:spacing w:after="0" w:line="240" w:lineRule="auto"/>
              <w:jc w:val="center"/>
              <w:rPr>
                <w:rFonts w:ascii="Times New Roman" w:eastAsia="Times New Roman" w:hAnsi="Times New Roman" w:cs="Times New Roman"/>
                <w:color w:val="000000"/>
                <w:sz w:val="24"/>
                <w:szCs w:val="24"/>
                <w:lang w:eastAsia="en-GB"/>
              </w:rPr>
            </w:pPr>
          </w:p>
        </w:tc>
        <w:tc>
          <w:tcPr>
            <w:tcW w:w="3236" w:type="dxa"/>
            <w:tcBorders>
              <w:top w:val="nil"/>
              <w:left w:val="nil"/>
              <w:bottom w:val="nil"/>
              <w:right w:val="nil"/>
            </w:tcBorders>
            <w:shd w:val="clear" w:color="auto" w:fill="auto"/>
            <w:noWrap/>
            <w:vAlign w:val="bottom"/>
            <w:hideMark/>
          </w:tcPr>
          <w:p w14:paraId="28A65752" w14:textId="044514E0" w:rsidR="00C4165B" w:rsidRPr="007A0D5A" w:rsidRDefault="00C4165B" w:rsidP="00B56BAD">
            <w:pPr>
              <w:spacing w:after="0" w:line="240" w:lineRule="auto"/>
              <w:jc w:val="center"/>
              <w:rPr>
                <w:rFonts w:ascii="Times New Roman" w:eastAsia="Times New Roman" w:hAnsi="Times New Roman" w:cs="Times New Roman"/>
                <w:color w:val="000000"/>
                <w:sz w:val="24"/>
                <w:szCs w:val="24"/>
                <w:lang w:eastAsia="en-GB"/>
              </w:rPr>
            </w:pPr>
            <w:r w:rsidRPr="007A0D5A">
              <w:rPr>
                <w:rFonts w:ascii="Times New Roman" w:eastAsia="Times New Roman" w:hAnsi="Times New Roman" w:cs="Times New Roman"/>
                <w:color w:val="000000"/>
                <w:sz w:val="24"/>
                <w:szCs w:val="24"/>
                <w:lang w:eastAsia="en-GB"/>
              </w:rPr>
              <w:t>-3.07%</w:t>
            </w:r>
          </w:p>
        </w:tc>
      </w:tr>
    </w:tbl>
    <w:p w14:paraId="4ADBD6E2" w14:textId="77777777" w:rsidR="00C4165B" w:rsidRDefault="00C4165B" w:rsidP="00C4165B">
      <w:pPr>
        <w:spacing w:after="0" w:line="240" w:lineRule="auto"/>
        <w:rPr>
          <w:rFonts w:ascii="Times New Roman" w:hAnsi="Times New Roman" w:cs="Times New Roman"/>
          <w:sz w:val="24"/>
          <w:szCs w:val="24"/>
        </w:rPr>
      </w:pPr>
    </w:p>
    <w:p w14:paraId="28CD4157" w14:textId="2C28BD16" w:rsidR="00FF0C27" w:rsidRDefault="00C4165B" w:rsidP="00B56BAD">
      <w:pPr>
        <w:spacing w:after="0" w:line="480" w:lineRule="auto"/>
        <w:ind w:firstLine="702"/>
        <w:jc w:val="both"/>
        <w:rPr>
          <w:rFonts w:ascii="Times New Roman" w:hAnsi="Times New Roman" w:cs="Times New Roman"/>
          <w:sz w:val="24"/>
          <w:szCs w:val="24"/>
        </w:rPr>
      </w:pPr>
      <w:r>
        <w:rPr>
          <w:rFonts w:ascii="Times New Roman" w:hAnsi="Times New Roman" w:cs="Times New Roman"/>
          <w:sz w:val="24"/>
          <w:szCs w:val="24"/>
        </w:rPr>
        <w:t>W</w:t>
      </w:r>
      <w:r w:rsidRPr="00B91FEF">
        <w:rPr>
          <w:rFonts w:ascii="Times New Roman" w:hAnsi="Times New Roman" w:cs="Times New Roman"/>
          <w:sz w:val="24"/>
          <w:szCs w:val="24"/>
        </w:rPr>
        <w:t xml:space="preserve">e observe that the median percentage change in net income for firms switching from capitalizing to expensing is 2.46%. This suggests that these firms were increasing their profitability in the two years prior </w:t>
      </w:r>
      <w:r>
        <w:rPr>
          <w:rFonts w:ascii="Times New Roman" w:hAnsi="Times New Roman" w:cs="Times New Roman"/>
          <w:sz w:val="24"/>
          <w:szCs w:val="24"/>
        </w:rPr>
        <w:t xml:space="preserve">to </w:t>
      </w:r>
      <w:r w:rsidRPr="00B91FEF">
        <w:rPr>
          <w:rFonts w:ascii="Times New Roman" w:hAnsi="Times New Roman" w:cs="Times New Roman"/>
          <w:sz w:val="24"/>
          <w:szCs w:val="24"/>
        </w:rPr>
        <w:t xml:space="preserve">changing their accounting policy, and </w:t>
      </w:r>
      <w:r>
        <w:rPr>
          <w:rFonts w:ascii="Times New Roman" w:hAnsi="Times New Roman" w:cs="Times New Roman"/>
          <w:sz w:val="24"/>
          <w:szCs w:val="24"/>
        </w:rPr>
        <w:t xml:space="preserve">so would be less concerned about the effect of expensing on profitability. </w:t>
      </w:r>
      <w:r w:rsidRPr="00B91FEF">
        <w:rPr>
          <w:rFonts w:ascii="Times New Roman" w:hAnsi="Times New Roman" w:cs="Times New Roman"/>
          <w:sz w:val="24"/>
          <w:szCs w:val="24"/>
        </w:rPr>
        <w:t xml:space="preserve"> In contrast, the median percentage change in net income for firms switching f</w:t>
      </w:r>
      <w:r>
        <w:rPr>
          <w:rFonts w:ascii="Times New Roman" w:hAnsi="Times New Roman" w:cs="Times New Roman"/>
          <w:sz w:val="24"/>
          <w:szCs w:val="24"/>
        </w:rPr>
        <w:t>ro</w:t>
      </w:r>
      <w:r w:rsidRPr="00B91FEF">
        <w:rPr>
          <w:rFonts w:ascii="Times New Roman" w:hAnsi="Times New Roman" w:cs="Times New Roman"/>
          <w:sz w:val="24"/>
          <w:szCs w:val="24"/>
        </w:rPr>
        <w:t>m expensing to capit</w:t>
      </w:r>
      <w:r>
        <w:rPr>
          <w:rFonts w:ascii="Times New Roman" w:hAnsi="Times New Roman" w:cs="Times New Roman"/>
          <w:sz w:val="24"/>
          <w:szCs w:val="24"/>
        </w:rPr>
        <w:t xml:space="preserve">alizing is </w:t>
      </w:r>
      <w:r w:rsidRPr="00B91FEF">
        <w:rPr>
          <w:rFonts w:ascii="Times New Roman" w:hAnsi="Times New Roman" w:cs="Times New Roman"/>
          <w:sz w:val="24"/>
          <w:szCs w:val="24"/>
        </w:rPr>
        <w:t xml:space="preserve">-3.07%, suggesting that these firms are experiencing a decrease in their profitability and </w:t>
      </w:r>
      <w:r>
        <w:rPr>
          <w:rFonts w:ascii="Times New Roman" w:hAnsi="Times New Roman" w:cs="Times New Roman"/>
          <w:sz w:val="24"/>
          <w:szCs w:val="24"/>
        </w:rPr>
        <w:t>would therefore be concerned about the effect of expensing on profitability.</w:t>
      </w:r>
      <w:r>
        <w:rPr>
          <w:rStyle w:val="FootnoteReference"/>
          <w:rFonts w:ascii="Times New Roman" w:hAnsi="Times New Roman" w:cs="Times New Roman"/>
          <w:sz w:val="24"/>
          <w:szCs w:val="24"/>
        </w:rPr>
        <w:footnoteReference w:id="14"/>
      </w:r>
    </w:p>
    <w:p w14:paraId="173BC49B" w14:textId="140575FA" w:rsidR="00CF1A25" w:rsidRPr="00946543" w:rsidRDefault="001272D2" w:rsidP="009374DB">
      <w:pPr>
        <w:spacing w:after="0" w:line="480" w:lineRule="auto"/>
        <w:ind w:firstLine="702"/>
        <w:jc w:val="both"/>
        <w:rPr>
          <w:rFonts w:ascii="Times New Roman" w:hAnsi="Times New Roman" w:cs="Times New Roman"/>
          <w:sz w:val="24"/>
          <w:szCs w:val="24"/>
        </w:rPr>
      </w:pPr>
      <w:r>
        <w:rPr>
          <w:rFonts w:ascii="Times New Roman" w:hAnsi="Times New Roman" w:cs="Times New Roman"/>
          <w:sz w:val="24"/>
          <w:szCs w:val="24"/>
        </w:rPr>
        <w:t>F</w:t>
      </w:r>
      <w:r w:rsidR="00FB071D">
        <w:rPr>
          <w:rFonts w:ascii="Times New Roman" w:hAnsi="Times New Roman" w:cs="Times New Roman"/>
          <w:sz w:val="24"/>
          <w:szCs w:val="24"/>
        </w:rPr>
        <w:t xml:space="preserve">ourth, </w:t>
      </w:r>
      <w:r w:rsidR="00CF1A25" w:rsidRPr="00000373">
        <w:rPr>
          <w:rFonts w:ascii="Times New Roman" w:hAnsi="Times New Roman" w:cs="Times New Roman"/>
          <w:sz w:val="24"/>
          <w:szCs w:val="24"/>
        </w:rPr>
        <w:t>we estimate</w:t>
      </w:r>
      <w:r w:rsidR="00D972F7" w:rsidRPr="00000373">
        <w:rPr>
          <w:rFonts w:ascii="Times New Roman" w:hAnsi="Times New Roman" w:cs="Times New Roman"/>
          <w:sz w:val="24"/>
          <w:szCs w:val="24"/>
        </w:rPr>
        <w:t>d</w:t>
      </w:r>
      <w:r w:rsidR="00CF1A25" w:rsidRPr="00000373">
        <w:rPr>
          <w:rFonts w:ascii="Times New Roman" w:hAnsi="Times New Roman" w:cs="Times New Roman"/>
          <w:sz w:val="24"/>
          <w:szCs w:val="24"/>
        </w:rPr>
        <w:t xml:space="preserve"> a Logit model </w:t>
      </w:r>
      <w:r w:rsidR="00D70B94" w:rsidRPr="00000373">
        <w:rPr>
          <w:rFonts w:ascii="Times New Roman" w:hAnsi="Times New Roman" w:cs="Times New Roman"/>
          <w:sz w:val="24"/>
          <w:szCs w:val="24"/>
        </w:rPr>
        <w:t xml:space="preserve">over the 1991-2004 period </w:t>
      </w:r>
      <w:r w:rsidR="00CF1A25" w:rsidRPr="00000373">
        <w:rPr>
          <w:rFonts w:ascii="Times New Roman" w:hAnsi="Times New Roman" w:cs="Times New Roman"/>
          <w:sz w:val="24"/>
          <w:szCs w:val="24"/>
        </w:rPr>
        <w:t xml:space="preserve">to </w:t>
      </w:r>
      <w:r w:rsidR="00580E8A">
        <w:rPr>
          <w:rFonts w:ascii="Times New Roman" w:hAnsi="Times New Roman" w:cs="Times New Roman"/>
          <w:sz w:val="24"/>
          <w:szCs w:val="24"/>
        </w:rPr>
        <w:t>statistically analyze</w:t>
      </w:r>
      <w:r w:rsidR="00CF1A25" w:rsidRPr="00000373">
        <w:rPr>
          <w:rFonts w:ascii="Times New Roman" w:hAnsi="Times New Roman" w:cs="Times New Roman"/>
          <w:sz w:val="24"/>
          <w:szCs w:val="24"/>
        </w:rPr>
        <w:t xml:space="preserve"> firms’ capitalize vs expense decision</w:t>
      </w:r>
      <w:r w:rsidR="00826834" w:rsidRPr="00000373">
        <w:rPr>
          <w:rFonts w:ascii="Times New Roman" w:hAnsi="Times New Roman" w:cs="Times New Roman"/>
          <w:sz w:val="24"/>
          <w:szCs w:val="24"/>
        </w:rPr>
        <w:t>s</w:t>
      </w:r>
      <w:r w:rsidR="00CF1A25" w:rsidRPr="00000373">
        <w:rPr>
          <w:rFonts w:ascii="Times New Roman" w:hAnsi="Times New Roman" w:cs="Times New Roman"/>
          <w:sz w:val="24"/>
          <w:szCs w:val="24"/>
        </w:rPr>
        <w:t>.</w:t>
      </w:r>
      <w:r w:rsidR="001C7BBC" w:rsidRPr="00000373">
        <w:rPr>
          <w:rFonts w:ascii="Times New Roman" w:hAnsi="Times New Roman" w:cs="Times New Roman"/>
          <w:sz w:val="24"/>
          <w:szCs w:val="24"/>
        </w:rPr>
        <w:t xml:space="preserve"> </w:t>
      </w:r>
      <w:r w:rsidR="00CF1A25" w:rsidRPr="00000373">
        <w:rPr>
          <w:rFonts w:ascii="Times New Roman" w:hAnsi="Times New Roman" w:cs="Times New Roman"/>
          <w:sz w:val="24"/>
          <w:szCs w:val="24"/>
        </w:rPr>
        <w:t xml:space="preserve">Our Logit analysis </w:t>
      </w:r>
      <w:r w:rsidR="00D528A2" w:rsidRPr="00000373">
        <w:rPr>
          <w:rFonts w:ascii="Times New Roman" w:hAnsi="Times New Roman" w:cs="Times New Roman"/>
          <w:sz w:val="24"/>
          <w:szCs w:val="24"/>
        </w:rPr>
        <w:t>begins with</w:t>
      </w:r>
      <w:r w:rsidR="00CF1A25" w:rsidRPr="00000373">
        <w:rPr>
          <w:rFonts w:ascii="Times New Roman" w:hAnsi="Times New Roman" w:cs="Times New Roman"/>
          <w:sz w:val="24"/>
          <w:szCs w:val="24"/>
        </w:rPr>
        <w:t xml:space="preserve"> Oswald (2008), focusing on life cycle (size, M/B, age, steady</w:t>
      </w:r>
      <w:r w:rsidR="00D70B94" w:rsidRPr="00000373">
        <w:rPr>
          <w:rFonts w:ascii="Times New Roman" w:hAnsi="Times New Roman" w:cs="Times New Roman"/>
          <w:sz w:val="24"/>
          <w:szCs w:val="24"/>
        </w:rPr>
        <w:t>-</w:t>
      </w:r>
      <w:r w:rsidR="00CF1A25" w:rsidRPr="00000373">
        <w:rPr>
          <w:rFonts w:ascii="Times New Roman" w:hAnsi="Times New Roman" w:cs="Times New Roman"/>
          <w:sz w:val="24"/>
          <w:szCs w:val="24"/>
        </w:rPr>
        <w:t>state), risk (earnings variability, beta) and profitability (positive vs negative earnings)</w:t>
      </w:r>
      <w:r w:rsidR="00D528A2" w:rsidRPr="00000373">
        <w:rPr>
          <w:rFonts w:ascii="Times New Roman" w:hAnsi="Times New Roman" w:cs="Times New Roman"/>
          <w:sz w:val="24"/>
          <w:szCs w:val="24"/>
        </w:rPr>
        <w:t xml:space="preserve">. </w:t>
      </w:r>
      <w:r w:rsidR="0024244A" w:rsidRPr="00000373">
        <w:rPr>
          <w:rFonts w:ascii="Times New Roman" w:hAnsi="Times New Roman" w:cs="Times New Roman"/>
          <w:sz w:val="24"/>
          <w:szCs w:val="24"/>
        </w:rPr>
        <w:t>To this</w:t>
      </w:r>
      <w:r w:rsidR="00BC75FD" w:rsidRPr="00000373">
        <w:rPr>
          <w:rFonts w:ascii="Times New Roman" w:hAnsi="Times New Roman" w:cs="Times New Roman"/>
          <w:sz w:val="24"/>
          <w:szCs w:val="24"/>
        </w:rPr>
        <w:t xml:space="preserve"> model,</w:t>
      </w:r>
      <w:r w:rsidR="0024244A" w:rsidRPr="00000373">
        <w:rPr>
          <w:rFonts w:ascii="Times New Roman" w:hAnsi="Times New Roman" w:cs="Times New Roman"/>
          <w:sz w:val="24"/>
          <w:szCs w:val="24"/>
        </w:rPr>
        <w:t xml:space="preserve"> we</w:t>
      </w:r>
      <w:r w:rsidR="00D528A2" w:rsidRPr="00000373">
        <w:rPr>
          <w:rFonts w:ascii="Times New Roman" w:hAnsi="Times New Roman" w:cs="Times New Roman"/>
          <w:sz w:val="24"/>
          <w:szCs w:val="24"/>
        </w:rPr>
        <w:t xml:space="preserve"> add </w:t>
      </w:r>
      <w:r w:rsidR="0071689B">
        <w:rPr>
          <w:rFonts w:ascii="Times New Roman" w:hAnsi="Times New Roman" w:cs="Times New Roman"/>
          <w:sz w:val="24"/>
          <w:szCs w:val="24"/>
        </w:rPr>
        <w:t>R&amp;D intensity</w:t>
      </w:r>
      <w:r w:rsidR="005B1A3A">
        <w:rPr>
          <w:rFonts w:ascii="Times New Roman" w:hAnsi="Times New Roman" w:cs="Times New Roman"/>
          <w:sz w:val="24"/>
          <w:szCs w:val="24"/>
        </w:rPr>
        <w:t xml:space="preserve"> </w:t>
      </w:r>
      <w:r w:rsidR="0071689B">
        <w:rPr>
          <w:rFonts w:ascii="Times New Roman" w:hAnsi="Times New Roman" w:cs="Times New Roman"/>
          <w:sz w:val="24"/>
          <w:szCs w:val="24"/>
        </w:rPr>
        <w:t xml:space="preserve">and </w:t>
      </w:r>
      <w:r w:rsidR="00D528A2" w:rsidRPr="00000373">
        <w:rPr>
          <w:rFonts w:ascii="Times New Roman" w:hAnsi="Times New Roman" w:cs="Times New Roman"/>
          <w:sz w:val="24"/>
          <w:szCs w:val="24"/>
        </w:rPr>
        <w:t xml:space="preserve">the percentage of development costs that </w:t>
      </w:r>
      <w:r w:rsidR="00D528A2" w:rsidRPr="00946543">
        <w:rPr>
          <w:rFonts w:ascii="Times New Roman" w:hAnsi="Times New Roman" w:cs="Times New Roman"/>
          <w:sz w:val="24"/>
          <w:szCs w:val="24"/>
        </w:rPr>
        <w:t>the firm capitalizes</w:t>
      </w:r>
      <w:r w:rsidR="0024244A" w:rsidRPr="00946543">
        <w:rPr>
          <w:rFonts w:ascii="Times New Roman" w:hAnsi="Times New Roman" w:cs="Times New Roman"/>
          <w:sz w:val="24"/>
          <w:szCs w:val="24"/>
        </w:rPr>
        <w:t xml:space="preserve">, </w:t>
      </w:r>
      <w:r w:rsidR="00000373" w:rsidRPr="00946543">
        <w:rPr>
          <w:rFonts w:ascii="Times New Roman" w:hAnsi="Times New Roman" w:cs="Times New Roman"/>
          <w:sz w:val="24"/>
          <w:szCs w:val="24"/>
        </w:rPr>
        <w:t xml:space="preserve">which </w:t>
      </w:r>
      <w:r w:rsidR="0024244A" w:rsidRPr="00946543">
        <w:rPr>
          <w:rFonts w:ascii="Times New Roman" w:hAnsi="Times New Roman" w:cs="Times New Roman"/>
          <w:sz w:val="24"/>
          <w:szCs w:val="24"/>
        </w:rPr>
        <w:t>directly relate to capitalization’s income benefit</w:t>
      </w:r>
      <w:r w:rsidR="0015125C">
        <w:rPr>
          <w:rFonts w:ascii="Times New Roman" w:hAnsi="Times New Roman" w:cs="Times New Roman"/>
          <w:sz w:val="24"/>
          <w:szCs w:val="24"/>
        </w:rPr>
        <w:t>:</w:t>
      </w:r>
      <w:r w:rsidR="00275974" w:rsidRPr="00946543">
        <w:rPr>
          <w:rFonts w:ascii="Times New Roman" w:hAnsi="Times New Roman" w:cs="Times New Roman"/>
          <w:sz w:val="24"/>
          <w:szCs w:val="24"/>
        </w:rPr>
        <w:t xml:space="preserve"> </w:t>
      </w:r>
    </w:p>
    <w:p w14:paraId="6AF233EA" w14:textId="007DF555" w:rsidR="00CF1A25" w:rsidRPr="00EF580F" w:rsidRDefault="00CF1A25" w:rsidP="007231F0">
      <w:pPr>
        <w:spacing w:after="0" w:line="240" w:lineRule="auto"/>
        <w:ind w:firstLine="702"/>
        <w:rPr>
          <w:rFonts w:ascii="Times New Roman" w:eastAsia="Times New Roman" w:hAnsi="Times New Roman" w:cs="Times New Roman"/>
          <w:color w:val="000000"/>
          <w:sz w:val="24"/>
          <w:szCs w:val="20"/>
        </w:rPr>
      </w:pPr>
      <w:r w:rsidRPr="00EF580F">
        <w:rPr>
          <w:rFonts w:ascii="Times New Roman" w:eastAsia="Times New Roman" w:hAnsi="Times New Roman" w:cs="Times New Roman"/>
          <w:color w:val="000000"/>
          <w:sz w:val="24"/>
          <w:szCs w:val="20"/>
        </w:rPr>
        <w:t>CAP =</w:t>
      </w:r>
      <w:r w:rsidR="005C4678">
        <w:rPr>
          <w:rFonts w:ascii="Times New Roman" w:eastAsia="Times New Roman" w:hAnsi="Times New Roman" w:cs="Times New Roman"/>
          <w:color w:val="000000"/>
          <w:sz w:val="24"/>
          <w:szCs w:val="20"/>
        </w:rPr>
        <w:t xml:space="preserve"> </w:t>
      </w:r>
      <w:r w:rsidR="005C4678">
        <w:rPr>
          <w:rFonts w:ascii="Symbol" w:eastAsia="Times New Roman" w:hAnsi="Symbol" w:cs="Times New Roman"/>
          <w:color w:val="000000"/>
          <w:sz w:val="24"/>
          <w:szCs w:val="20"/>
        </w:rPr>
        <w:t></w:t>
      </w:r>
      <w:r w:rsidRPr="00EF580F">
        <w:rPr>
          <w:rFonts w:ascii="Times New Roman" w:eastAsia="Times New Roman" w:hAnsi="Times New Roman" w:cs="Times New Roman"/>
          <w:color w:val="000000"/>
          <w:sz w:val="24"/>
          <w:szCs w:val="20"/>
          <w:vertAlign w:val="subscript"/>
        </w:rPr>
        <w:t>0</w:t>
      </w:r>
      <w:r w:rsidRPr="00EF580F">
        <w:rPr>
          <w:rFonts w:ascii="Times New Roman" w:eastAsia="Times New Roman" w:hAnsi="Times New Roman" w:cs="Times New Roman"/>
          <w:color w:val="000000"/>
          <w:sz w:val="24"/>
          <w:szCs w:val="20"/>
        </w:rPr>
        <w:t xml:space="preserve"> + </w:t>
      </w:r>
      <w:r w:rsidRPr="00EF580F">
        <w:rPr>
          <w:rFonts w:ascii="Symbol" w:eastAsia="Times New Roman" w:hAnsi="Symbol" w:cs="Times New Roman"/>
          <w:color w:val="000000"/>
          <w:sz w:val="24"/>
          <w:szCs w:val="20"/>
        </w:rPr>
        <w:t></w:t>
      </w:r>
      <w:r w:rsidRPr="00EF580F">
        <w:rPr>
          <w:rFonts w:ascii="Times New Roman" w:eastAsia="Times New Roman" w:hAnsi="Times New Roman" w:cs="Times New Roman"/>
          <w:color w:val="000000"/>
          <w:sz w:val="24"/>
          <w:szCs w:val="20"/>
          <w:vertAlign w:val="subscript"/>
        </w:rPr>
        <w:t>1</w:t>
      </w:r>
      <w:r w:rsidRPr="00EF580F">
        <w:rPr>
          <w:rFonts w:ascii="Times New Roman" w:eastAsia="Times New Roman" w:hAnsi="Times New Roman" w:cs="Times New Roman"/>
          <w:color w:val="000000"/>
          <w:sz w:val="24"/>
          <w:szCs w:val="20"/>
        </w:rPr>
        <w:t xml:space="preserve">EARN_VAR + </w:t>
      </w:r>
      <w:r w:rsidRPr="00EF580F">
        <w:rPr>
          <w:rFonts w:ascii="Symbol" w:eastAsia="Times New Roman" w:hAnsi="Symbol" w:cs="Times New Roman"/>
          <w:color w:val="000000"/>
          <w:sz w:val="24"/>
          <w:szCs w:val="20"/>
        </w:rPr>
        <w:t></w:t>
      </w:r>
      <w:r w:rsidRPr="00EF580F">
        <w:rPr>
          <w:rFonts w:ascii="Times New Roman" w:eastAsia="Times New Roman" w:hAnsi="Times New Roman" w:cs="Times New Roman"/>
          <w:color w:val="000000"/>
          <w:sz w:val="24"/>
          <w:szCs w:val="20"/>
          <w:vertAlign w:val="subscript"/>
        </w:rPr>
        <w:t>2</w:t>
      </w:r>
      <w:r w:rsidRPr="00EF580F">
        <w:rPr>
          <w:rFonts w:ascii="Times New Roman" w:eastAsia="Times New Roman" w:hAnsi="Times New Roman" w:cs="Times New Roman"/>
          <w:color w:val="000000"/>
          <w:sz w:val="24"/>
          <w:szCs w:val="20"/>
        </w:rPr>
        <w:t xml:space="preserve">EARN_SIGN + </w:t>
      </w:r>
      <w:r w:rsidRPr="00EF580F">
        <w:rPr>
          <w:rFonts w:ascii="Symbol" w:eastAsia="Times New Roman" w:hAnsi="Symbol" w:cs="Times New Roman"/>
          <w:color w:val="000000"/>
          <w:sz w:val="24"/>
          <w:szCs w:val="20"/>
        </w:rPr>
        <w:t></w:t>
      </w:r>
      <w:r w:rsidRPr="00EF580F">
        <w:rPr>
          <w:rFonts w:ascii="Times New Roman" w:eastAsia="Times New Roman" w:hAnsi="Times New Roman" w:cs="Times New Roman"/>
          <w:color w:val="000000"/>
          <w:sz w:val="24"/>
          <w:szCs w:val="20"/>
          <w:vertAlign w:val="subscript"/>
        </w:rPr>
        <w:t>3</w:t>
      </w:r>
      <w:r w:rsidR="00273344">
        <w:rPr>
          <w:rFonts w:ascii="Times New Roman" w:eastAsia="Times New Roman" w:hAnsi="Times New Roman" w:cs="Times New Roman"/>
          <w:color w:val="000000"/>
          <w:sz w:val="24"/>
          <w:szCs w:val="20"/>
        </w:rPr>
        <w:t>SIZE</w:t>
      </w:r>
      <w:r w:rsidRPr="00EF580F">
        <w:rPr>
          <w:rFonts w:ascii="Times New Roman" w:eastAsia="Times New Roman" w:hAnsi="Times New Roman" w:cs="Times New Roman"/>
          <w:color w:val="000000"/>
          <w:sz w:val="24"/>
          <w:szCs w:val="20"/>
        </w:rPr>
        <w:t xml:space="preserve"> + </w:t>
      </w:r>
      <w:r w:rsidRPr="00EF580F">
        <w:rPr>
          <w:rFonts w:ascii="Symbol" w:eastAsia="Times New Roman" w:hAnsi="Symbol" w:cs="Times New Roman"/>
          <w:color w:val="000000"/>
          <w:sz w:val="24"/>
          <w:szCs w:val="20"/>
        </w:rPr>
        <w:t></w:t>
      </w:r>
      <w:r w:rsidRPr="00EF580F">
        <w:rPr>
          <w:rFonts w:ascii="Times New Roman" w:eastAsia="Times New Roman" w:hAnsi="Times New Roman" w:cs="Times New Roman"/>
          <w:color w:val="000000"/>
          <w:sz w:val="24"/>
          <w:szCs w:val="20"/>
          <w:vertAlign w:val="subscript"/>
        </w:rPr>
        <w:t>4</w:t>
      </w:r>
      <w:r w:rsidRPr="00EF580F">
        <w:rPr>
          <w:rFonts w:ascii="Times New Roman" w:eastAsia="Times New Roman" w:hAnsi="Times New Roman" w:cs="Times New Roman"/>
          <w:color w:val="000000"/>
          <w:sz w:val="24"/>
          <w:szCs w:val="20"/>
        </w:rPr>
        <w:t>M/B</w:t>
      </w:r>
    </w:p>
    <w:p w14:paraId="6B00CB60" w14:textId="74ABBA78" w:rsidR="00E2796C" w:rsidRDefault="00CF1A25" w:rsidP="007231F0">
      <w:pPr>
        <w:tabs>
          <w:tab w:val="left" w:pos="1620"/>
        </w:tabs>
        <w:spacing w:after="0" w:line="240" w:lineRule="auto"/>
        <w:ind w:firstLine="702"/>
        <w:rPr>
          <w:rFonts w:ascii="Times New Roman" w:eastAsia="Times New Roman" w:hAnsi="Times New Roman" w:cs="Times New Roman"/>
          <w:color w:val="000000"/>
          <w:sz w:val="24"/>
          <w:szCs w:val="20"/>
        </w:rPr>
      </w:pPr>
      <w:r w:rsidRPr="00EF580F">
        <w:rPr>
          <w:rFonts w:ascii="Times New Roman" w:eastAsia="Times New Roman" w:hAnsi="Times New Roman" w:cs="Times New Roman"/>
          <w:color w:val="000000"/>
          <w:sz w:val="24"/>
          <w:szCs w:val="20"/>
        </w:rPr>
        <w:tab/>
        <w:t xml:space="preserve">+ </w:t>
      </w:r>
      <w:r w:rsidRPr="00EF580F">
        <w:rPr>
          <w:rFonts w:ascii="Symbol" w:eastAsia="Times New Roman" w:hAnsi="Symbol" w:cs="Times New Roman"/>
          <w:color w:val="000000"/>
          <w:sz w:val="24"/>
          <w:szCs w:val="20"/>
        </w:rPr>
        <w:t></w:t>
      </w:r>
      <w:r w:rsidRPr="00EF580F">
        <w:rPr>
          <w:rFonts w:ascii="Times New Roman" w:eastAsia="Times New Roman" w:hAnsi="Times New Roman" w:cs="Times New Roman"/>
          <w:color w:val="000000"/>
          <w:sz w:val="24"/>
          <w:szCs w:val="20"/>
          <w:vertAlign w:val="subscript"/>
        </w:rPr>
        <w:t>5</w:t>
      </w:r>
      <w:r w:rsidRPr="00EF580F">
        <w:rPr>
          <w:rFonts w:ascii="Times New Roman" w:eastAsia="Times New Roman" w:hAnsi="Times New Roman" w:cs="Times New Roman"/>
          <w:color w:val="000000"/>
          <w:sz w:val="24"/>
          <w:szCs w:val="20"/>
        </w:rPr>
        <w:t>RD</w:t>
      </w:r>
      <w:r w:rsidR="00182B23">
        <w:rPr>
          <w:rFonts w:ascii="Times New Roman" w:eastAsia="Times New Roman" w:hAnsi="Times New Roman" w:cs="Times New Roman"/>
          <w:color w:val="000000"/>
          <w:sz w:val="24"/>
          <w:szCs w:val="20"/>
        </w:rPr>
        <w:t>/TA</w:t>
      </w:r>
      <w:r w:rsidRPr="00EF580F">
        <w:rPr>
          <w:rFonts w:ascii="Times New Roman" w:eastAsia="Times New Roman" w:hAnsi="Times New Roman" w:cs="Times New Roman"/>
          <w:color w:val="000000"/>
          <w:sz w:val="24"/>
          <w:szCs w:val="20"/>
        </w:rPr>
        <w:t xml:space="preserve"> + </w:t>
      </w:r>
      <w:r w:rsidRPr="00EF580F">
        <w:rPr>
          <w:rFonts w:ascii="Symbol" w:eastAsia="Times New Roman" w:hAnsi="Symbol" w:cs="Times New Roman"/>
          <w:color w:val="000000"/>
          <w:sz w:val="24"/>
          <w:szCs w:val="20"/>
        </w:rPr>
        <w:t></w:t>
      </w:r>
      <w:r w:rsidRPr="00EF580F">
        <w:rPr>
          <w:rFonts w:ascii="Times New Roman" w:eastAsia="Times New Roman" w:hAnsi="Times New Roman" w:cs="Times New Roman"/>
          <w:color w:val="000000"/>
          <w:sz w:val="24"/>
          <w:szCs w:val="20"/>
          <w:vertAlign w:val="subscript"/>
        </w:rPr>
        <w:t>6</w:t>
      </w:r>
      <w:r w:rsidRPr="00EF580F">
        <w:rPr>
          <w:rFonts w:ascii="Times New Roman" w:eastAsia="Times New Roman" w:hAnsi="Times New Roman" w:cs="Times New Roman"/>
          <w:color w:val="000000"/>
          <w:sz w:val="24"/>
          <w:szCs w:val="20"/>
        </w:rPr>
        <w:t xml:space="preserve">LEV + </w:t>
      </w:r>
      <w:r w:rsidRPr="00EF580F">
        <w:rPr>
          <w:rFonts w:ascii="Symbol" w:eastAsia="Times New Roman" w:hAnsi="Symbol" w:cs="Times New Roman"/>
          <w:color w:val="000000"/>
          <w:sz w:val="24"/>
          <w:szCs w:val="20"/>
        </w:rPr>
        <w:t></w:t>
      </w:r>
      <w:r w:rsidRPr="00EF580F">
        <w:rPr>
          <w:rFonts w:ascii="Times New Roman" w:eastAsia="Times New Roman" w:hAnsi="Times New Roman" w:cs="Times New Roman"/>
          <w:color w:val="000000"/>
          <w:sz w:val="24"/>
          <w:szCs w:val="20"/>
          <w:vertAlign w:val="subscript"/>
        </w:rPr>
        <w:t>7</w:t>
      </w:r>
      <w:r w:rsidRPr="00EF580F">
        <w:rPr>
          <w:rFonts w:ascii="Times New Roman" w:eastAsia="Times New Roman" w:hAnsi="Times New Roman" w:cs="Times New Roman"/>
          <w:color w:val="000000"/>
          <w:sz w:val="24"/>
          <w:szCs w:val="20"/>
        </w:rPr>
        <w:t xml:space="preserve">BETA + </w:t>
      </w:r>
      <w:r w:rsidRPr="00EF580F">
        <w:rPr>
          <w:rFonts w:ascii="Symbol" w:eastAsia="Times New Roman" w:hAnsi="Symbol" w:cs="Times New Roman"/>
          <w:color w:val="000000"/>
          <w:sz w:val="24"/>
          <w:szCs w:val="20"/>
        </w:rPr>
        <w:t></w:t>
      </w:r>
      <w:r w:rsidRPr="00EF580F">
        <w:rPr>
          <w:rFonts w:ascii="Times New Roman" w:eastAsia="Times New Roman" w:hAnsi="Times New Roman" w:cs="Times New Roman"/>
          <w:color w:val="000000"/>
          <w:sz w:val="24"/>
          <w:szCs w:val="20"/>
          <w:vertAlign w:val="subscript"/>
        </w:rPr>
        <w:t>8</w:t>
      </w:r>
      <w:r w:rsidRPr="00EF580F">
        <w:rPr>
          <w:rFonts w:ascii="Times New Roman" w:eastAsia="Times New Roman" w:hAnsi="Times New Roman" w:cs="Times New Roman"/>
          <w:color w:val="000000"/>
          <w:sz w:val="24"/>
          <w:szCs w:val="20"/>
        </w:rPr>
        <w:t xml:space="preserve">AGE + </w:t>
      </w:r>
      <w:r w:rsidRPr="00EF580F">
        <w:rPr>
          <w:rFonts w:ascii="Symbol" w:eastAsia="Times New Roman" w:hAnsi="Symbol" w:cs="Times New Roman"/>
          <w:color w:val="000000"/>
          <w:sz w:val="24"/>
          <w:szCs w:val="20"/>
        </w:rPr>
        <w:t></w:t>
      </w:r>
      <w:r w:rsidRPr="00EF580F">
        <w:rPr>
          <w:rFonts w:ascii="Times New Roman" w:eastAsia="Times New Roman" w:hAnsi="Times New Roman" w:cs="Times New Roman"/>
          <w:color w:val="000000"/>
          <w:sz w:val="24"/>
          <w:szCs w:val="20"/>
          <w:vertAlign w:val="subscript"/>
        </w:rPr>
        <w:t>9</w:t>
      </w:r>
      <w:r w:rsidRPr="00EF580F">
        <w:rPr>
          <w:rFonts w:ascii="Times New Roman" w:eastAsia="Times New Roman" w:hAnsi="Times New Roman" w:cs="Times New Roman"/>
          <w:color w:val="000000"/>
          <w:sz w:val="24"/>
          <w:szCs w:val="20"/>
        </w:rPr>
        <w:t>STATE</w:t>
      </w:r>
      <w:r w:rsidR="00D528A2">
        <w:rPr>
          <w:rFonts w:ascii="Times New Roman" w:eastAsia="Times New Roman" w:hAnsi="Times New Roman" w:cs="Times New Roman"/>
          <w:color w:val="000000"/>
          <w:sz w:val="24"/>
          <w:szCs w:val="20"/>
        </w:rPr>
        <w:t xml:space="preserve"> </w:t>
      </w:r>
      <w:r w:rsidR="00D528A2" w:rsidRPr="00EF580F">
        <w:rPr>
          <w:rFonts w:ascii="Times New Roman" w:eastAsia="Times New Roman" w:hAnsi="Times New Roman" w:cs="Times New Roman"/>
          <w:color w:val="000000"/>
          <w:sz w:val="24"/>
          <w:szCs w:val="20"/>
        </w:rPr>
        <w:t xml:space="preserve">+ </w:t>
      </w:r>
      <w:r w:rsidR="00D528A2" w:rsidRPr="00EF580F">
        <w:rPr>
          <w:rFonts w:ascii="Symbol" w:eastAsia="Times New Roman" w:hAnsi="Symbol" w:cs="Times New Roman"/>
          <w:color w:val="000000"/>
          <w:sz w:val="24"/>
          <w:szCs w:val="20"/>
        </w:rPr>
        <w:t></w:t>
      </w:r>
      <w:r w:rsidR="00D528A2">
        <w:rPr>
          <w:rFonts w:ascii="Times New Roman" w:eastAsia="Times New Roman" w:hAnsi="Times New Roman" w:cs="Times New Roman"/>
          <w:color w:val="000000"/>
          <w:sz w:val="24"/>
          <w:szCs w:val="20"/>
          <w:vertAlign w:val="subscript"/>
        </w:rPr>
        <w:t>10</w:t>
      </w:r>
      <w:r w:rsidR="00D528A2">
        <w:rPr>
          <w:rFonts w:ascii="Times New Roman" w:eastAsia="Times New Roman" w:hAnsi="Times New Roman" w:cs="Times New Roman"/>
          <w:color w:val="000000"/>
          <w:sz w:val="24"/>
          <w:szCs w:val="20"/>
        </w:rPr>
        <w:t>CAP%</w:t>
      </w:r>
    </w:p>
    <w:p w14:paraId="7169923A" w14:textId="38E3CB66" w:rsidR="00CF1A25" w:rsidRPr="00EF580F" w:rsidRDefault="00E2796C" w:rsidP="007231F0">
      <w:pPr>
        <w:tabs>
          <w:tab w:val="left" w:pos="1620"/>
        </w:tabs>
        <w:spacing w:after="0" w:line="240" w:lineRule="auto"/>
        <w:ind w:firstLine="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0"/>
        </w:rPr>
        <w:tab/>
      </w:r>
      <w:r w:rsidR="00CF1A25" w:rsidRPr="00EF580F">
        <w:rPr>
          <w:rFonts w:ascii="Times New Roman" w:eastAsia="Times New Roman" w:hAnsi="Times New Roman" w:cs="Times New Roman"/>
          <w:color w:val="000000"/>
          <w:sz w:val="24"/>
          <w:szCs w:val="20"/>
        </w:rPr>
        <w:t xml:space="preserve">+ </w:t>
      </w:r>
      <w:r w:rsidR="00336A4D">
        <w:rPr>
          <w:rFonts w:ascii="Times New Roman" w:eastAsia="Times New Roman" w:hAnsi="Times New Roman" w:cs="Times New Roman"/>
          <w:color w:val="000000"/>
          <w:sz w:val="24"/>
          <w:szCs w:val="20"/>
        </w:rPr>
        <w:t xml:space="preserve">industry fixed effects + year fixed effects + </w:t>
      </w:r>
      <w:r w:rsidR="00CF1A25" w:rsidRPr="00EF580F">
        <w:rPr>
          <w:rFonts w:ascii="Symbol" w:eastAsia="Times New Roman" w:hAnsi="Symbol" w:cs="Times New Roman"/>
          <w:color w:val="000000"/>
          <w:sz w:val="24"/>
          <w:szCs w:val="20"/>
        </w:rPr>
        <w:t></w:t>
      </w:r>
      <w:r w:rsidR="002732AE">
        <w:rPr>
          <w:rFonts w:ascii="Times New Roman" w:eastAsia="Times New Roman" w:hAnsi="Times New Roman" w:cs="Times New Roman"/>
          <w:color w:val="000000"/>
          <w:sz w:val="24"/>
          <w:szCs w:val="24"/>
        </w:rPr>
        <w:tab/>
      </w:r>
      <w:r w:rsidR="002732AE">
        <w:rPr>
          <w:rFonts w:ascii="Times New Roman" w:eastAsia="Times New Roman" w:hAnsi="Times New Roman" w:cs="Times New Roman"/>
          <w:color w:val="000000"/>
          <w:sz w:val="24"/>
          <w:szCs w:val="24"/>
        </w:rPr>
        <w:tab/>
      </w:r>
      <w:r w:rsidR="00F92152">
        <w:rPr>
          <w:rFonts w:ascii="Times New Roman" w:eastAsia="Times New Roman" w:hAnsi="Times New Roman" w:cs="Times New Roman"/>
          <w:color w:val="000000"/>
          <w:sz w:val="24"/>
          <w:szCs w:val="24"/>
        </w:rPr>
        <w:tab/>
      </w:r>
      <w:r w:rsidR="008B2649">
        <w:rPr>
          <w:rFonts w:ascii="Times New Roman" w:eastAsia="Times New Roman" w:hAnsi="Times New Roman" w:cs="Times New Roman"/>
          <w:color w:val="000000"/>
          <w:sz w:val="24"/>
          <w:szCs w:val="24"/>
        </w:rPr>
        <w:tab/>
      </w:r>
      <w:r w:rsidR="002732AE">
        <w:rPr>
          <w:rFonts w:ascii="Times New Roman" w:eastAsia="Times New Roman" w:hAnsi="Times New Roman" w:cs="Times New Roman"/>
          <w:color w:val="000000"/>
          <w:sz w:val="24"/>
          <w:szCs w:val="24"/>
        </w:rPr>
        <w:t>(2</w:t>
      </w:r>
      <w:r w:rsidR="00CF1A25" w:rsidRPr="00EF580F">
        <w:rPr>
          <w:rFonts w:ascii="Times New Roman" w:eastAsia="Times New Roman" w:hAnsi="Times New Roman" w:cs="Times New Roman"/>
          <w:color w:val="000000"/>
          <w:sz w:val="24"/>
          <w:szCs w:val="24"/>
        </w:rPr>
        <w:t>)</w:t>
      </w:r>
    </w:p>
    <w:p w14:paraId="7A1BBD98" w14:textId="6F4A4EC4" w:rsidR="00CF1A25" w:rsidRPr="00430D9C" w:rsidRDefault="00CF1A25" w:rsidP="007231F0">
      <w:pPr>
        <w:tabs>
          <w:tab w:val="left" w:pos="-426"/>
          <w:tab w:val="left" w:pos="709"/>
          <w:tab w:val="left" w:pos="993"/>
          <w:tab w:val="left" w:pos="1701"/>
          <w:tab w:val="left" w:pos="2835"/>
          <w:tab w:val="left" w:pos="3402"/>
        </w:tabs>
        <w:spacing w:after="0" w:line="480" w:lineRule="auto"/>
        <w:contextualSpacing/>
        <w:rPr>
          <w:rFonts w:ascii="Times New Roman" w:hAnsi="Times New Roman" w:cs="Times New Roman"/>
          <w:sz w:val="24"/>
          <w:szCs w:val="24"/>
        </w:rPr>
      </w:pPr>
      <w:r w:rsidRPr="00430D9C">
        <w:rPr>
          <w:rFonts w:ascii="Times New Roman" w:hAnsi="Times New Roman" w:cs="Times New Roman"/>
          <w:sz w:val="24"/>
          <w:szCs w:val="24"/>
        </w:rPr>
        <w:tab/>
      </w:r>
    </w:p>
    <w:p w14:paraId="2E320350" w14:textId="77777777" w:rsidR="004C1155" w:rsidRDefault="00CF1A25" w:rsidP="004C1155">
      <w:pPr>
        <w:tabs>
          <w:tab w:val="left" w:pos="-426"/>
          <w:tab w:val="left" w:pos="709"/>
          <w:tab w:val="left" w:pos="993"/>
          <w:tab w:val="left" w:pos="1701"/>
          <w:tab w:val="left" w:pos="2835"/>
          <w:tab w:val="left" w:pos="3402"/>
        </w:tabs>
        <w:spacing w:after="0" w:line="480" w:lineRule="auto"/>
        <w:contextualSpacing/>
        <w:jc w:val="both"/>
        <w:rPr>
          <w:rFonts w:ascii="Times New Roman" w:hAnsi="Times New Roman" w:cs="Times New Roman"/>
          <w:sz w:val="24"/>
          <w:szCs w:val="24"/>
        </w:rPr>
      </w:pPr>
      <w:r w:rsidRPr="00CD64C9">
        <w:rPr>
          <w:rFonts w:ascii="Times New Roman" w:hAnsi="Times New Roman" w:cs="Times New Roman"/>
          <w:sz w:val="24"/>
          <w:szCs w:val="24"/>
        </w:rPr>
        <w:t>CAP</w:t>
      </w:r>
      <w:r w:rsidR="00336A4D" w:rsidRPr="00CD64C9">
        <w:rPr>
          <w:rFonts w:ascii="Times New Roman" w:hAnsi="Times New Roman" w:cs="Times New Roman"/>
          <w:sz w:val="24"/>
          <w:szCs w:val="24"/>
        </w:rPr>
        <w:t xml:space="preserve"> is an </w:t>
      </w:r>
      <w:r w:rsidRPr="00CD64C9">
        <w:rPr>
          <w:rFonts w:ascii="Times New Roman" w:hAnsi="Times New Roman" w:cs="Times New Roman"/>
          <w:sz w:val="24"/>
          <w:szCs w:val="24"/>
        </w:rPr>
        <w:t xml:space="preserve">indicator variable equal to 1 if </w:t>
      </w:r>
      <w:r w:rsidR="00331B80" w:rsidRPr="00CD64C9">
        <w:rPr>
          <w:rFonts w:ascii="Times New Roman" w:hAnsi="Times New Roman" w:cs="Times New Roman"/>
          <w:sz w:val="24"/>
          <w:szCs w:val="24"/>
        </w:rPr>
        <w:t xml:space="preserve">the </w:t>
      </w:r>
      <w:r w:rsidRPr="00CD64C9">
        <w:rPr>
          <w:rFonts w:ascii="Times New Roman" w:hAnsi="Times New Roman" w:cs="Times New Roman"/>
          <w:sz w:val="24"/>
          <w:szCs w:val="24"/>
        </w:rPr>
        <w:t xml:space="preserve">firm </w:t>
      </w:r>
      <w:r w:rsidR="00336A4D" w:rsidRPr="00CD64C9">
        <w:rPr>
          <w:rFonts w:ascii="Times New Roman" w:hAnsi="Times New Roman" w:cs="Times New Roman"/>
          <w:sz w:val="24"/>
          <w:szCs w:val="24"/>
        </w:rPr>
        <w:t>capitalized its R&amp;D under UK</w:t>
      </w:r>
      <w:r w:rsidR="00B06E06">
        <w:rPr>
          <w:rFonts w:ascii="Times New Roman" w:hAnsi="Times New Roman" w:cs="Times New Roman"/>
          <w:sz w:val="24"/>
          <w:szCs w:val="24"/>
        </w:rPr>
        <w:t xml:space="preserve"> GAAP</w:t>
      </w:r>
      <w:r w:rsidR="00336A4D">
        <w:rPr>
          <w:rFonts w:ascii="Times New Roman" w:hAnsi="Times New Roman" w:cs="Times New Roman"/>
          <w:sz w:val="24"/>
          <w:szCs w:val="24"/>
        </w:rPr>
        <w:t>, 0 if the firm expensed its R&amp;D under UK GAAP</w:t>
      </w:r>
      <w:r w:rsidR="00F427B8">
        <w:rPr>
          <w:rFonts w:ascii="Times New Roman" w:hAnsi="Times New Roman" w:cs="Times New Roman"/>
          <w:sz w:val="24"/>
          <w:szCs w:val="24"/>
        </w:rPr>
        <w:t xml:space="preserve"> </w:t>
      </w:r>
      <w:r w:rsidR="00F427B8" w:rsidRPr="00F427B8">
        <w:rPr>
          <w:rFonts w:ascii="Times New Roman" w:hAnsi="Times New Roman" w:cs="Times New Roman"/>
          <w:sz w:val="24"/>
          <w:szCs w:val="24"/>
        </w:rPr>
        <w:t>(</w:t>
      </w:r>
      <w:r w:rsidR="00F427B8">
        <w:rPr>
          <w:rFonts w:asciiTheme="majorBidi" w:hAnsiTheme="majorBidi" w:cstheme="majorBidi"/>
          <w:sz w:val="24"/>
          <w:szCs w:val="24"/>
        </w:rPr>
        <w:t>m</w:t>
      </w:r>
      <w:r w:rsidR="00F427B8" w:rsidRPr="00556D4C">
        <w:rPr>
          <w:rFonts w:asciiTheme="majorBidi" w:hAnsiTheme="majorBidi" w:cstheme="majorBidi"/>
          <w:sz w:val="24"/>
          <w:szCs w:val="24"/>
        </w:rPr>
        <w:t>ixed policy firms are included in the Logit estimation, using their particular method each year</w:t>
      </w:r>
      <w:r w:rsidR="00F427B8" w:rsidRPr="00F427B8">
        <w:rPr>
          <w:rFonts w:ascii="Times New Roman" w:hAnsi="Times New Roman" w:cs="Times New Roman"/>
          <w:sz w:val="24"/>
          <w:szCs w:val="24"/>
        </w:rPr>
        <w:t>)</w:t>
      </w:r>
      <w:r w:rsidR="00336A4D">
        <w:rPr>
          <w:rFonts w:ascii="Times New Roman" w:hAnsi="Times New Roman" w:cs="Times New Roman"/>
          <w:sz w:val="24"/>
          <w:szCs w:val="24"/>
        </w:rPr>
        <w:t xml:space="preserve">; </w:t>
      </w:r>
      <w:r w:rsidRPr="00CD64C9">
        <w:rPr>
          <w:rFonts w:ascii="Times New Roman" w:hAnsi="Times New Roman" w:cs="Times New Roman"/>
          <w:sz w:val="24"/>
          <w:szCs w:val="24"/>
        </w:rPr>
        <w:t>EARN_VAR</w:t>
      </w:r>
      <w:r w:rsidR="00336A4D">
        <w:rPr>
          <w:rFonts w:ascii="Times New Roman" w:hAnsi="Times New Roman" w:cs="Times New Roman"/>
          <w:sz w:val="24"/>
          <w:szCs w:val="24"/>
        </w:rPr>
        <w:t xml:space="preserve"> is the variance of the firm’s earnings per share deflated by share price at the start of the fiscal year over 1990-2004; </w:t>
      </w:r>
      <w:r w:rsidRPr="00CD64C9">
        <w:rPr>
          <w:rFonts w:ascii="Times New Roman" w:hAnsi="Times New Roman" w:cs="Times New Roman"/>
          <w:sz w:val="24"/>
          <w:szCs w:val="24"/>
        </w:rPr>
        <w:t xml:space="preserve">EARN_SIGN </w:t>
      </w:r>
      <w:r w:rsidR="00336A4D">
        <w:rPr>
          <w:rFonts w:ascii="Times New Roman" w:hAnsi="Times New Roman" w:cs="Times New Roman"/>
          <w:sz w:val="24"/>
          <w:szCs w:val="24"/>
        </w:rPr>
        <w:t xml:space="preserve">is an indicator variable equal to 1 if </w:t>
      </w:r>
      <w:r w:rsidRPr="00CD64C9">
        <w:rPr>
          <w:rFonts w:ascii="Times New Roman" w:hAnsi="Times New Roman" w:cs="Times New Roman"/>
          <w:sz w:val="24"/>
          <w:szCs w:val="24"/>
        </w:rPr>
        <w:t>earnings for</w:t>
      </w:r>
      <w:r w:rsidR="00193CB0" w:rsidRPr="00CD64C9">
        <w:rPr>
          <w:rFonts w:ascii="Times New Roman" w:hAnsi="Times New Roman" w:cs="Times New Roman"/>
          <w:sz w:val="24"/>
          <w:szCs w:val="24"/>
        </w:rPr>
        <w:t xml:space="preserve"> the</w:t>
      </w:r>
      <w:r w:rsidRPr="00CD64C9">
        <w:rPr>
          <w:rFonts w:ascii="Times New Roman" w:hAnsi="Times New Roman" w:cs="Times New Roman"/>
          <w:sz w:val="24"/>
          <w:szCs w:val="24"/>
        </w:rPr>
        <w:t xml:space="preserve"> firm (</w:t>
      </w:r>
      <w:r w:rsidR="00990B5F">
        <w:rPr>
          <w:rFonts w:ascii="Times New Roman" w:hAnsi="Times New Roman" w:cs="Times New Roman"/>
          <w:sz w:val="24"/>
          <w:szCs w:val="24"/>
        </w:rPr>
        <w:t>converted to an</w:t>
      </w:r>
      <w:r w:rsidRPr="00CD64C9">
        <w:rPr>
          <w:rFonts w:ascii="Times New Roman" w:hAnsi="Times New Roman" w:cs="Times New Roman"/>
          <w:sz w:val="24"/>
          <w:szCs w:val="24"/>
        </w:rPr>
        <w:t xml:space="preserve"> ‘as-if-expense’</w:t>
      </w:r>
      <w:r w:rsidR="00990B5F">
        <w:rPr>
          <w:rFonts w:ascii="Times New Roman" w:hAnsi="Times New Roman" w:cs="Times New Roman"/>
          <w:sz w:val="24"/>
          <w:szCs w:val="24"/>
        </w:rPr>
        <w:t xml:space="preserve"> basis</w:t>
      </w:r>
      <w:r w:rsidR="00F8033C">
        <w:rPr>
          <w:rFonts w:ascii="Times New Roman" w:hAnsi="Times New Roman" w:cs="Times New Roman"/>
          <w:sz w:val="24"/>
          <w:szCs w:val="24"/>
        </w:rPr>
        <w:t>)</w:t>
      </w:r>
      <w:r w:rsidRPr="00CD64C9">
        <w:rPr>
          <w:rFonts w:ascii="Times New Roman" w:hAnsi="Times New Roman" w:cs="Times New Roman"/>
          <w:sz w:val="24"/>
          <w:szCs w:val="24"/>
        </w:rPr>
        <w:t xml:space="preserve"> is positive, </w:t>
      </w:r>
      <w:r w:rsidR="00336A4D">
        <w:rPr>
          <w:rFonts w:ascii="Times New Roman" w:hAnsi="Times New Roman" w:cs="Times New Roman"/>
          <w:sz w:val="24"/>
          <w:szCs w:val="24"/>
        </w:rPr>
        <w:t>0</w:t>
      </w:r>
      <w:r w:rsidRPr="00CD64C9">
        <w:rPr>
          <w:rFonts w:ascii="Times New Roman" w:hAnsi="Times New Roman" w:cs="Times New Roman"/>
          <w:sz w:val="24"/>
          <w:szCs w:val="24"/>
        </w:rPr>
        <w:t xml:space="preserve"> otherwise</w:t>
      </w:r>
      <w:r w:rsidR="00D70B94" w:rsidRPr="00CD64C9">
        <w:rPr>
          <w:rFonts w:ascii="Times New Roman" w:hAnsi="Times New Roman" w:cs="Times New Roman"/>
          <w:sz w:val="24"/>
          <w:szCs w:val="24"/>
        </w:rPr>
        <w:t>;</w:t>
      </w:r>
      <w:r w:rsidR="00CD64C9">
        <w:rPr>
          <w:rFonts w:ascii="Times New Roman" w:hAnsi="Times New Roman" w:cs="Times New Roman"/>
          <w:sz w:val="24"/>
          <w:szCs w:val="24"/>
        </w:rPr>
        <w:t xml:space="preserve"> </w:t>
      </w:r>
      <w:r w:rsidR="00273344">
        <w:rPr>
          <w:rFonts w:ascii="Times New Roman" w:hAnsi="Times New Roman" w:cs="Times New Roman"/>
          <w:sz w:val="24"/>
          <w:szCs w:val="24"/>
        </w:rPr>
        <w:t>SIZE</w:t>
      </w:r>
      <w:r w:rsidR="00F25801">
        <w:rPr>
          <w:rFonts w:ascii="Times New Roman" w:hAnsi="Times New Roman" w:cs="Times New Roman"/>
          <w:sz w:val="24"/>
          <w:szCs w:val="24"/>
        </w:rPr>
        <w:t xml:space="preserve"> is the natural logarithm of </w:t>
      </w:r>
      <w:r w:rsidR="00F73B44">
        <w:rPr>
          <w:rFonts w:ascii="Times New Roman" w:hAnsi="Times New Roman" w:cs="Times New Roman"/>
          <w:sz w:val="24"/>
          <w:szCs w:val="24"/>
        </w:rPr>
        <w:t xml:space="preserve">the firm’s </w:t>
      </w:r>
      <w:r w:rsidR="00F25801">
        <w:rPr>
          <w:rFonts w:ascii="Times New Roman" w:hAnsi="Times New Roman" w:cs="Times New Roman"/>
          <w:sz w:val="24"/>
          <w:szCs w:val="24"/>
        </w:rPr>
        <w:t xml:space="preserve">market value of equity; </w:t>
      </w:r>
      <w:bookmarkStart w:id="1" w:name="_Hlk46666383"/>
      <w:r w:rsidRPr="00CD64C9">
        <w:rPr>
          <w:rFonts w:ascii="Times New Roman" w:hAnsi="Times New Roman" w:cs="Times New Roman"/>
          <w:sz w:val="24"/>
          <w:szCs w:val="24"/>
        </w:rPr>
        <w:t>M/B</w:t>
      </w:r>
      <w:r w:rsidR="00F25801">
        <w:rPr>
          <w:rFonts w:ascii="Times New Roman" w:hAnsi="Times New Roman" w:cs="Times New Roman"/>
          <w:sz w:val="24"/>
          <w:szCs w:val="24"/>
        </w:rPr>
        <w:t xml:space="preserve"> is market value of equity divided by book value of equity </w:t>
      </w:r>
      <w:r w:rsidRPr="005839E5">
        <w:rPr>
          <w:rFonts w:ascii="Times New Roman" w:hAnsi="Times New Roman" w:cs="Times New Roman"/>
          <w:sz w:val="24"/>
          <w:szCs w:val="24"/>
          <w:vertAlign w:val="subscript"/>
        </w:rPr>
        <w:t xml:space="preserve"> </w:t>
      </w:r>
      <w:bookmarkEnd w:id="1"/>
      <w:r w:rsidR="00193CB0" w:rsidRPr="005839E5">
        <w:rPr>
          <w:rFonts w:ascii="Times New Roman" w:hAnsi="Times New Roman" w:cs="Times New Roman"/>
          <w:sz w:val="24"/>
          <w:szCs w:val="24"/>
        </w:rPr>
        <w:t xml:space="preserve">(converted to </w:t>
      </w:r>
      <w:r w:rsidR="00990B5F">
        <w:rPr>
          <w:rFonts w:ascii="Times New Roman" w:hAnsi="Times New Roman" w:cs="Times New Roman"/>
          <w:sz w:val="24"/>
          <w:szCs w:val="24"/>
        </w:rPr>
        <w:t xml:space="preserve">an </w:t>
      </w:r>
      <w:r w:rsidR="00193CB0" w:rsidRPr="005839E5">
        <w:rPr>
          <w:rFonts w:ascii="Times New Roman" w:hAnsi="Times New Roman" w:cs="Times New Roman"/>
          <w:sz w:val="24"/>
          <w:szCs w:val="24"/>
        </w:rPr>
        <w:t>‘as-if-expense’</w:t>
      </w:r>
      <w:r w:rsidR="00990B5F">
        <w:rPr>
          <w:rFonts w:ascii="Times New Roman" w:hAnsi="Times New Roman" w:cs="Times New Roman"/>
          <w:sz w:val="24"/>
          <w:szCs w:val="24"/>
        </w:rPr>
        <w:t xml:space="preserve"> basis</w:t>
      </w:r>
      <w:r w:rsidR="00F8033C">
        <w:rPr>
          <w:rFonts w:ascii="Times New Roman" w:hAnsi="Times New Roman" w:cs="Times New Roman"/>
          <w:sz w:val="24"/>
          <w:szCs w:val="24"/>
        </w:rPr>
        <w:t>)</w:t>
      </w:r>
      <w:r w:rsidR="00F25801">
        <w:rPr>
          <w:rFonts w:ascii="Times New Roman" w:hAnsi="Times New Roman" w:cs="Times New Roman"/>
          <w:sz w:val="24"/>
          <w:szCs w:val="24"/>
        </w:rPr>
        <w:t>;</w:t>
      </w:r>
      <w:r w:rsidR="005839E5">
        <w:rPr>
          <w:rFonts w:ascii="Times New Roman" w:hAnsi="Times New Roman" w:cs="Times New Roman"/>
          <w:sz w:val="24"/>
          <w:szCs w:val="24"/>
        </w:rPr>
        <w:t xml:space="preserve"> </w:t>
      </w:r>
      <w:r w:rsidRPr="005839E5">
        <w:rPr>
          <w:rFonts w:ascii="Times New Roman" w:hAnsi="Times New Roman" w:cs="Times New Roman"/>
          <w:sz w:val="24"/>
          <w:szCs w:val="24"/>
        </w:rPr>
        <w:t>RD</w:t>
      </w:r>
      <w:r w:rsidR="00182B23">
        <w:rPr>
          <w:rFonts w:ascii="Times New Roman" w:hAnsi="Times New Roman" w:cs="Times New Roman"/>
          <w:sz w:val="24"/>
          <w:szCs w:val="24"/>
        </w:rPr>
        <w:t>/TA</w:t>
      </w:r>
      <w:r w:rsidR="005839E5">
        <w:rPr>
          <w:rFonts w:ascii="Times New Roman" w:hAnsi="Times New Roman" w:cs="Times New Roman"/>
          <w:sz w:val="24"/>
          <w:szCs w:val="24"/>
        </w:rPr>
        <w:t xml:space="preserve"> </w:t>
      </w:r>
      <w:r w:rsidR="00F25801">
        <w:rPr>
          <w:rFonts w:ascii="Times New Roman" w:hAnsi="Times New Roman" w:cs="Times New Roman"/>
          <w:sz w:val="24"/>
          <w:szCs w:val="24"/>
        </w:rPr>
        <w:t>is R&amp;D expenditures divided by total assets (converted to an ‘as-if-expense’</w:t>
      </w:r>
      <w:r w:rsidR="00990B5F">
        <w:rPr>
          <w:rFonts w:ascii="Times New Roman" w:hAnsi="Times New Roman" w:cs="Times New Roman"/>
          <w:sz w:val="24"/>
          <w:szCs w:val="24"/>
        </w:rPr>
        <w:t xml:space="preserve"> basis</w:t>
      </w:r>
      <w:r w:rsidR="00F8033C">
        <w:rPr>
          <w:rFonts w:ascii="Times New Roman" w:hAnsi="Times New Roman" w:cs="Times New Roman"/>
          <w:sz w:val="24"/>
          <w:szCs w:val="24"/>
        </w:rPr>
        <w:t>)</w:t>
      </w:r>
      <w:r w:rsidR="006E765A">
        <w:rPr>
          <w:rFonts w:ascii="Times New Roman" w:hAnsi="Times New Roman" w:cs="Times New Roman"/>
          <w:sz w:val="24"/>
          <w:szCs w:val="24"/>
        </w:rPr>
        <w:t>, a measure of R&amp;D intensity (similar to Oswald (2008))</w:t>
      </w:r>
      <w:r w:rsidR="00F25801">
        <w:rPr>
          <w:rFonts w:ascii="Times New Roman" w:hAnsi="Times New Roman" w:cs="Times New Roman"/>
          <w:sz w:val="24"/>
          <w:szCs w:val="24"/>
        </w:rPr>
        <w:t xml:space="preserve">; </w:t>
      </w:r>
      <w:r w:rsidRPr="005839E5">
        <w:rPr>
          <w:rFonts w:ascii="Times New Roman" w:hAnsi="Times New Roman" w:cs="Times New Roman"/>
          <w:sz w:val="24"/>
          <w:szCs w:val="24"/>
        </w:rPr>
        <w:t>LEV</w:t>
      </w:r>
      <w:r w:rsidR="005839E5">
        <w:rPr>
          <w:rFonts w:ascii="Times New Roman" w:hAnsi="Times New Roman" w:cs="Times New Roman"/>
          <w:sz w:val="24"/>
          <w:szCs w:val="24"/>
        </w:rPr>
        <w:t xml:space="preserve"> </w:t>
      </w:r>
      <w:r w:rsidR="00F25801">
        <w:rPr>
          <w:rFonts w:ascii="Times New Roman" w:hAnsi="Times New Roman" w:cs="Times New Roman"/>
          <w:sz w:val="24"/>
          <w:szCs w:val="24"/>
        </w:rPr>
        <w:t xml:space="preserve">is the firm’s leverage measured as debt divided by book value of equity (converted to </w:t>
      </w:r>
      <w:r w:rsidR="00990B5F">
        <w:rPr>
          <w:rFonts w:ascii="Times New Roman" w:hAnsi="Times New Roman" w:cs="Times New Roman"/>
          <w:sz w:val="24"/>
          <w:szCs w:val="24"/>
        </w:rPr>
        <w:t xml:space="preserve">an </w:t>
      </w:r>
      <w:r w:rsidR="00F25801">
        <w:rPr>
          <w:rFonts w:ascii="Times New Roman" w:hAnsi="Times New Roman" w:cs="Times New Roman"/>
          <w:sz w:val="24"/>
          <w:szCs w:val="24"/>
        </w:rPr>
        <w:t>‘as-if-expense’</w:t>
      </w:r>
      <w:r w:rsidR="00990B5F">
        <w:rPr>
          <w:rFonts w:ascii="Times New Roman" w:hAnsi="Times New Roman" w:cs="Times New Roman"/>
          <w:sz w:val="24"/>
          <w:szCs w:val="24"/>
        </w:rPr>
        <w:t xml:space="preserve"> basis</w:t>
      </w:r>
      <w:r w:rsidR="00F8033C">
        <w:rPr>
          <w:rFonts w:ascii="Times New Roman" w:hAnsi="Times New Roman" w:cs="Times New Roman"/>
          <w:sz w:val="24"/>
          <w:szCs w:val="24"/>
        </w:rPr>
        <w:t>)</w:t>
      </w:r>
      <w:r w:rsidR="00C92CEF">
        <w:rPr>
          <w:rStyle w:val="FootnoteReference"/>
          <w:rFonts w:ascii="Times New Roman" w:hAnsi="Times New Roman" w:cs="Times New Roman"/>
          <w:sz w:val="24"/>
          <w:szCs w:val="24"/>
        </w:rPr>
        <w:footnoteReference w:id="15"/>
      </w:r>
      <w:r w:rsidR="00F25801">
        <w:rPr>
          <w:rFonts w:ascii="Times New Roman" w:hAnsi="Times New Roman" w:cs="Times New Roman"/>
          <w:sz w:val="24"/>
          <w:szCs w:val="24"/>
        </w:rPr>
        <w:t xml:space="preserve">; </w:t>
      </w:r>
      <w:r w:rsidRPr="005839E5">
        <w:rPr>
          <w:rFonts w:ascii="Times New Roman" w:hAnsi="Times New Roman" w:cs="Times New Roman"/>
          <w:sz w:val="24"/>
          <w:szCs w:val="24"/>
        </w:rPr>
        <w:t>BETA</w:t>
      </w:r>
      <w:r w:rsidR="00F25801">
        <w:rPr>
          <w:rFonts w:ascii="Times New Roman" w:hAnsi="Times New Roman" w:cs="Times New Roman"/>
          <w:sz w:val="24"/>
          <w:szCs w:val="24"/>
        </w:rPr>
        <w:t xml:space="preserve"> is the firm’s beta;</w:t>
      </w:r>
      <w:r w:rsidR="005839E5">
        <w:rPr>
          <w:rFonts w:ascii="Times New Roman" w:hAnsi="Times New Roman" w:cs="Times New Roman"/>
          <w:sz w:val="24"/>
          <w:szCs w:val="24"/>
        </w:rPr>
        <w:t xml:space="preserve"> </w:t>
      </w:r>
      <w:r w:rsidRPr="005839E5">
        <w:rPr>
          <w:rFonts w:ascii="Times New Roman" w:hAnsi="Times New Roman" w:cs="Times New Roman"/>
          <w:sz w:val="24"/>
          <w:szCs w:val="24"/>
        </w:rPr>
        <w:t>AGE</w:t>
      </w:r>
      <w:r w:rsidR="00F25801">
        <w:rPr>
          <w:rFonts w:ascii="Times New Roman" w:hAnsi="Times New Roman" w:cs="Times New Roman"/>
          <w:sz w:val="24"/>
          <w:szCs w:val="24"/>
        </w:rPr>
        <w:t xml:space="preserve"> is </w:t>
      </w:r>
      <w:r w:rsidR="00193CB0" w:rsidRPr="005839E5">
        <w:rPr>
          <w:rFonts w:ascii="Times New Roman" w:hAnsi="Times New Roman" w:cs="Times New Roman"/>
          <w:sz w:val="24"/>
          <w:szCs w:val="24"/>
        </w:rPr>
        <w:t xml:space="preserve">the </w:t>
      </w:r>
      <w:r w:rsidRPr="005839E5">
        <w:rPr>
          <w:rFonts w:ascii="Times New Roman" w:hAnsi="Times New Roman" w:cs="Times New Roman"/>
          <w:sz w:val="24"/>
          <w:szCs w:val="24"/>
        </w:rPr>
        <w:t>firm</w:t>
      </w:r>
      <w:r w:rsidR="00193CB0" w:rsidRPr="005839E5">
        <w:rPr>
          <w:rFonts w:ascii="Times New Roman" w:hAnsi="Times New Roman" w:cs="Times New Roman"/>
          <w:sz w:val="24"/>
          <w:szCs w:val="24"/>
        </w:rPr>
        <w:t>’s</w:t>
      </w:r>
      <w:r w:rsidRPr="005839E5">
        <w:rPr>
          <w:rFonts w:ascii="Times New Roman" w:hAnsi="Times New Roman" w:cs="Times New Roman"/>
          <w:sz w:val="24"/>
          <w:szCs w:val="24"/>
        </w:rPr>
        <w:t xml:space="preserve"> age </w:t>
      </w:r>
      <w:r w:rsidR="00193CB0" w:rsidRPr="005839E5">
        <w:rPr>
          <w:rFonts w:ascii="Times New Roman" w:hAnsi="Times New Roman" w:cs="Times New Roman"/>
          <w:sz w:val="24"/>
          <w:szCs w:val="24"/>
        </w:rPr>
        <w:t>measured as the number of years between the date of incorporation and fiscal year-end</w:t>
      </w:r>
      <w:r w:rsidRPr="005839E5">
        <w:rPr>
          <w:rFonts w:ascii="Times New Roman" w:hAnsi="Times New Roman" w:cs="Times New Roman"/>
          <w:sz w:val="24"/>
          <w:szCs w:val="24"/>
        </w:rPr>
        <w:t>;</w:t>
      </w:r>
      <w:r w:rsidR="005839E5">
        <w:rPr>
          <w:rFonts w:ascii="Times New Roman" w:hAnsi="Times New Roman" w:cs="Times New Roman"/>
          <w:sz w:val="24"/>
          <w:szCs w:val="24"/>
        </w:rPr>
        <w:t xml:space="preserve"> </w:t>
      </w:r>
      <w:r w:rsidRPr="005839E5">
        <w:rPr>
          <w:rFonts w:ascii="Times New Roman" w:hAnsi="Times New Roman" w:cs="Times New Roman"/>
          <w:sz w:val="24"/>
          <w:szCs w:val="24"/>
        </w:rPr>
        <w:t>STATE</w:t>
      </w:r>
      <w:r w:rsidR="00F25801">
        <w:rPr>
          <w:rFonts w:ascii="Times New Roman" w:hAnsi="Times New Roman" w:cs="Times New Roman"/>
          <w:sz w:val="24"/>
          <w:szCs w:val="24"/>
        </w:rPr>
        <w:t xml:space="preserve"> is an </w:t>
      </w:r>
      <w:r w:rsidRPr="005839E5">
        <w:rPr>
          <w:rFonts w:ascii="Times New Roman" w:hAnsi="Times New Roman" w:cs="Times New Roman"/>
          <w:sz w:val="24"/>
          <w:szCs w:val="24"/>
        </w:rPr>
        <w:t xml:space="preserve">indicator variable equal to </w:t>
      </w:r>
      <w:r w:rsidR="00F25801">
        <w:rPr>
          <w:rFonts w:ascii="Times New Roman" w:hAnsi="Times New Roman" w:cs="Times New Roman"/>
          <w:sz w:val="24"/>
          <w:szCs w:val="24"/>
        </w:rPr>
        <w:t>1</w:t>
      </w:r>
      <w:r w:rsidRPr="005839E5">
        <w:rPr>
          <w:rFonts w:ascii="Times New Roman" w:hAnsi="Times New Roman" w:cs="Times New Roman"/>
          <w:sz w:val="24"/>
          <w:szCs w:val="24"/>
        </w:rPr>
        <w:t xml:space="preserve"> if </w:t>
      </w:r>
      <w:r w:rsidR="00193CB0" w:rsidRPr="005839E5">
        <w:rPr>
          <w:rFonts w:ascii="Times New Roman" w:hAnsi="Times New Roman" w:cs="Times New Roman"/>
          <w:sz w:val="24"/>
          <w:szCs w:val="24"/>
        </w:rPr>
        <w:t xml:space="preserve">the </w:t>
      </w:r>
      <w:r w:rsidRPr="005839E5">
        <w:rPr>
          <w:rFonts w:ascii="Times New Roman" w:hAnsi="Times New Roman" w:cs="Times New Roman"/>
          <w:sz w:val="24"/>
          <w:szCs w:val="24"/>
        </w:rPr>
        <w:t>firm is estimated to be in steady-state with respect to its R&amp;D program</w:t>
      </w:r>
      <w:r w:rsidR="00193CB0" w:rsidRPr="005839E5">
        <w:rPr>
          <w:rFonts w:ascii="Times New Roman" w:hAnsi="Times New Roman" w:cs="Times New Roman"/>
          <w:sz w:val="24"/>
          <w:szCs w:val="24"/>
        </w:rPr>
        <w:t xml:space="preserve">, 0 </w:t>
      </w:r>
      <w:r w:rsidRPr="005839E5">
        <w:rPr>
          <w:rFonts w:ascii="Times New Roman" w:hAnsi="Times New Roman" w:cs="Times New Roman"/>
          <w:sz w:val="24"/>
          <w:szCs w:val="24"/>
        </w:rPr>
        <w:t>otherwise</w:t>
      </w:r>
      <w:r w:rsidR="00193CB0" w:rsidRPr="005839E5">
        <w:rPr>
          <w:rFonts w:ascii="Times New Roman" w:hAnsi="Times New Roman" w:cs="Times New Roman"/>
          <w:sz w:val="24"/>
          <w:szCs w:val="24"/>
        </w:rPr>
        <w:t xml:space="preserve">. Steady-state status is determined based on the absolute value of the difference between the amounts capitalized and amortized in a particular year scaled by the intangible </w:t>
      </w:r>
      <w:r w:rsidR="00860846">
        <w:rPr>
          <w:rFonts w:ascii="Times New Roman" w:hAnsi="Times New Roman" w:cs="Times New Roman"/>
          <w:sz w:val="24"/>
          <w:szCs w:val="24"/>
        </w:rPr>
        <w:t>R&amp;D asset</w:t>
      </w:r>
      <w:r w:rsidR="00193CB0" w:rsidRPr="005839E5">
        <w:rPr>
          <w:rFonts w:ascii="Times New Roman" w:hAnsi="Times New Roman" w:cs="Times New Roman"/>
          <w:sz w:val="24"/>
          <w:szCs w:val="24"/>
        </w:rPr>
        <w:t xml:space="preserve"> (reported for the capitalizers and estimated for the expensers). Firms in the lower half of the distribution by industry of this variable are classified as steady-state (STATE = 1) and firms in the upper half of the distribution by industry are classified as non-steady-state (STATE</w:t>
      </w:r>
      <w:r w:rsidR="00167E4B">
        <w:rPr>
          <w:rFonts w:ascii="Times New Roman" w:hAnsi="Times New Roman" w:cs="Times New Roman"/>
          <w:sz w:val="24"/>
          <w:szCs w:val="24"/>
        </w:rPr>
        <w:t xml:space="preserve"> </w:t>
      </w:r>
      <w:r w:rsidR="00193CB0" w:rsidRPr="005839E5">
        <w:rPr>
          <w:rFonts w:ascii="Times New Roman" w:hAnsi="Times New Roman" w:cs="Times New Roman"/>
          <w:sz w:val="24"/>
          <w:szCs w:val="24"/>
        </w:rPr>
        <w:t>=</w:t>
      </w:r>
      <w:r w:rsidR="00167E4B">
        <w:rPr>
          <w:rFonts w:ascii="Times New Roman" w:hAnsi="Times New Roman" w:cs="Times New Roman"/>
          <w:sz w:val="24"/>
          <w:szCs w:val="24"/>
        </w:rPr>
        <w:t xml:space="preserve"> </w:t>
      </w:r>
      <w:r w:rsidR="00193CB0" w:rsidRPr="005839E5">
        <w:rPr>
          <w:rFonts w:ascii="Times New Roman" w:hAnsi="Times New Roman" w:cs="Times New Roman"/>
          <w:sz w:val="24"/>
          <w:szCs w:val="24"/>
        </w:rPr>
        <w:t>0). To estimate the amounts capitalized and amortized for the expensers, we estimate a</w:t>
      </w:r>
      <w:r w:rsidR="008E6219">
        <w:rPr>
          <w:rFonts w:ascii="Times New Roman" w:hAnsi="Times New Roman" w:cs="Times New Roman"/>
          <w:sz w:val="24"/>
          <w:szCs w:val="24"/>
        </w:rPr>
        <w:t>n</w:t>
      </w:r>
      <w:r w:rsidR="00860846">
        <w:rPr>
          <w:rFonts w:ascii="Times New Roman" w:hAnsi="Times New Roman" w:cs="Times New Roman"/>
          <w:sz w:val="24"/>
          <w:szCs w:val="24"/>
        </w:rPr>
        <w:t xml:space="preserve"> R&amp;D</w:t>
      </w:r>
      <w:r w:rsidR="00193CB0" w:rsidRPr="005839E5">
        <w:rPr>
          <w:rFonts w:ascii="Times New Roman" w:hAnsi="Times New Roman" w:cs="Times New Roman"/>
          <w:sz w:val="24"/>
          <w:szCs w:val="24"/>
        </w:rPr>
        <w:t xml:space="preserve"> asset based on a capitalization percentage of 77% applied to yearly R&amp;D expenditures and an amortization rate of 20%. The capitalization and amortization rates are from Oswald (2008)</w:t>
      </w:r>
      <w:r w:rsidR="00F25801">
        <w:rPr>
          <w:rFonts w:ascii="Times New Roman" w:hAnsi="Times New Roman" w:cs="Times New Roman"/>
          <w:sz w:val="24"/>
          <w:szCs w:val="24"/>
        </w:rPr>
        <w:t xml:space="preserve">. </w:t>
      </w:r>
      <w:r w:rsidR="0024244A">
        <w:rPr>
          <w:rFonts w:ascii="Times New Roman" w:hAnsi="Times New Roman" w:cs="Times New Roman"/>
          <w:sz w:val="24"/>
          <w:szCs w:val="24"/>
        </w:rPr>
        <w:t>CAP% is the ratio of capitalized to total</w:t>
      </w:r>
      <w:r w:rsidR="00EB6794">
        <w:rPr>
          <w:rFonts w:ascii="Times New Roman" w:hAnsi="Times New Roman" w:cs="Times New Roman"/>
          <w:sz w:val="24"/>
          <w:szCs w:val="24"/>
        </w:rPr>
        <w:t xml:space="preserve"> R&amp;D expenditures</w:t>
      </w:r>
      <w:r w:rsidR="0024244A">
        <w:rPr>
          <w:rFonts w:ascii="Times New Roman" w:hAnsi="Times New Roman" w:cs="Times New Roman"/>
          <w:sz w:val="24"/>
          <w:szCs w:val="24"/>
        </w:rPr>
        <w:t xml:space="preserve">. For expensers (who did not disclose this ratio under UK GAAP), we used the pro-forma capitalization data </w:t>
      </w:r>
      <w:r w:rsidR="009212B1">
        <w:rPr>
          <w:rFonts w:ascii="Times New Roman" w:hAnsi="Times New Roman" w:cs="Times New Roman"/>
          <w:sz w:val="24"/>
          <w:szCs w:val="24"/>
        </w:rPr>
        <w:t>that they were required to disclose upon the switch to IFRS.</w:t>
      </w:r>
      <w:r w:rsidR="00BC75FD">
        <w:rPr>
          <w:rStyle w:val="FootnoteReference"/>
          <w:rFonts w:ascii="Times New Roman" w:hAnsi="Times New Roman" w:cs="Times New Roman"/>
          <w:sz w:val="24"/>
          <w:szCs w:val="24"/>
        </w:rPr>
        <w:footnoteReference w:id="16"/>
      </w:r>
      <w:r w:rsidR="009212B1">
        <w:rPr>
          <w:rFonts w:ascii="Times New Roman" w:hAnsi="Times New Roman" w:cs="Times New Roman"/>
          <w:sz w:val="24"/>
          <w:szCs w:val="24"/>
        </w:rPr>
        <w:t xml:space="preserve"> </w:t>
      </w:r>
      <w:r w:rsidR="00F25801">
        <w:rPr>
          <w:rFonts w:ascii="Times New Roman" w:hAnsi="Times New Roman" w:cs="Times New Roman"/>
          <w:sz w:val="24"/>
          <w:szCs w:val="24"/>
        </w:rPr>
        <w:t>All variables</w:t>
      </w:r>
      <w:r w:rsidR="005839E5">
        <w:rPr>
          <w:rFonts w:ascii="Times New Roman" w:hAnsi="Times New Roman" w:cs="Times New Roman"/>
          <w:sz w:val="24"/>
          <w:szCs w:val="24"/>
        </w:rPr>
        <w:t xml:space="preserve"> in equation (2)</w:t>
      </w:r>
      <w:r w:rsidR="00F25801">
        <w:rPr>
          <w:rFonts w:ascii="Times New Roman" w:hAnsi="Times New Roman" w:cs="Times New Roman"/>
          <w:sz w:val="24"/>
          <w:szCs w:val="24"/>
        </w:rPr>
        <w:t>, unless otherwise noted, are measured at fiscal year-end</w:t>
      </w:r>
      <w:r w:rsidR="005839E5">
        <w:rPr>
          <w:rFonts w:ascii="Times New Roman" w:hAnsi="Times New Roman" w:cs="Times New Roman"/>
          <w:sz w:val="24"/>
          <w:szCs w:val="24"/>
        </w:rPr>
        <w:t xml:space="preserve">, and all </w:t>
      </w:r>
      <w:r w:rsidR="00F25801">
        <w:rPr>
          <w:rFonts w:ascii="Times New Roman" w:hAnsi="Times New Roman" w:cs="Times New Roman"/>
          <w:sz w:val="24"/>
          <w:szCs w:val="24"/>
        </w:rPr>
        <w:t>explanatory variables are measured as the percentile ranking of each firm within its industry-year</w:t>
      </w:r>
      <w:r w:rsidR="00DF264C">
        <w:rPr>
          <w:rFonts w:ascii="Times New Roman" w:hAnsi="Times New Roman" w:cs="Times New Roman"/>
          <w:sz w:val="24"/>
          <w:szCs w:val="24"/>
        </w:rPr>
        <w:t xml:space="preserve"> (Johnston,</w:t>
      </w:r>
      <w:r w:rsidR="002C6E49">
        <w:rPr>
          <w:rFonts w:ascii="Times New Roman" w:hAnsi="Times New Roman" w:cs="Times New Roman"/>
          <w:sz w:val="24"/>
          <w:szCs w:val="24"/>
        </w:rPr>
        <w:t xml:space="preserve"> Leone, Ramnath and Yang,</w:t>
      </w:r>
      <w:r w:rsidR="00DF264C">
        <w:rPr>
          <w:rFonts w:ascii="Times New Roman" w:hAnsi="Times New Roman" w:cs="Times New Roman"/>
          <w:sz w:val="24"/>
          <w:szCs w:val="24"/>
        </w:rPr>
        <w:t xml:space="preserve"> 2012)</w:t>
      </w:r>
      <w:r w:rsidR="00F25801">
        <w:rPr>
          <w:rFonts w:ascii="Times New Roman" w:hAnsi="Times New Roman" w:cs="Times New Roman"/>
          <w:sz w:val="24"/>
          <w:szCs w:val="24"/>
        </w:rPr>
        <w:t>.</w:t>
      </w:r>
      <w:r w:rsidRPr="005839E5">
        <w:rPr>
          <w:rFonts w:ascii="Times New Roman" w:hAnsi="Times New Roman" w:cs="Times New Roman"/>
          <w:sz w:val="24"/>
          <w:szCs w:val="24"/>
        </w:rPr>
        <w:t xml:space="preserve"> </w:t>
      </w:r>
    </w:p>
    <w:p w14:paraId="365284C5" w14:textId="4A238BD6" w:rsidR="00CF1A25" w:rsidRDefault="004C1155" w:rsidP="004C1155">
      <w:pPr>
        <w:tabs>
          <w:tab w:val="left" w:pos="-426"/>
          <w:tab w:val="left" w:pos="709"/>
          <w:tab w:val="left" w:pos="993"/>
          <w:tab w:val="left" w:pos="1701"/>
          <w:tab w:val="left" w:pos="2835"/>
          <w:tab w:val="left" w:pos="3402"/>
        </w:tabs>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CF1A25" w:rsidRPr="005A6B0E">
        <w:rPr>
          <w:rFonts w:ascii="Times New Roman" w:hAnsi="Times New Roman" w:cs="Times New Roman"/>
          <w:sz w:val="24"/>
          <w:szCs w:val="24"/>
        </w:rPr>
        <w:t xml:space="preserve">The results of </w:t>
      </w:r>
      <w:r w:rsidR="00F92152">
        <w:rPr>
          <w:rFonts w:ascii="Times New Roman" w:hAnsi="Times New Roman" w:cs="Times New Roman"/>
          <w:sz w:val="24"/>
          <w:szCs w:val="24"/>
        </w:rPr>
        <w:t xml:space="preserve">estimating equation </w:t>
      </w:r>
      <w:r w:rsidR="00CF1A25" w:rsidRPr="005A6B0E">
        <w:rPr>
          <w:rFonts w:ascii="Times New Roman" w:hAnsi="Times New Roman" w:cs="Times New Roman"/>
          <w:sz w:val="24"/>
          <w:szCs w:val="24"/>
        </w:rPr>
        <w:t xml:space="preserve">(2) are shown in Table </w:t>
      </w:r>
      <w:r w:rsidR="00967D47">
        <w:rPr>
          <w:rFonts w:ascii="Times New Roman" w:hAnsi="Times New Roman" w:cs="Times New Roman"/>
          <w:sz w:val="24"/>
          <w:szCs w:val="24"/>
        </w:rPr>
        <w:t>4</w:t>
      </w:r>
      <w:r w:rsidR="00CF1A25" w:rsidRPr="00E02129">
        <w:rPr>
          <w:rFonts w:ascii="Times New Roman" w:hAnsi="Times New Roman" w:cs="Times New Roman"/>
          <w:sz w:val="24"/>
          <w:szCs w:val="24"/>
        </w:rPr>
        <w:t xml:space="preserve">. Consistent with our expectations, </w:t>
      </w:r>
      <w:r w:rsidR="00CF1A25" w:rsidRPr="00496348">
        <w:rPr>
          <w:rFonts w:ascii="Times New Roman" w:hAnsi="Times New Roman" w:cs="Times New Roman"/>
          <w:sz w:val="24"/>
          <w:szCs w:val="24"/>
        </w:rPr>
        <w:t xml:space="preserve">firms benefitting most from capitalization’s effect on income - </w:t>
      </w:r>
      <w:r w:rsidR="00CF1A25" w:rsidRPr="00430D9C">
        <w:rPr>
          <w:rFonts w:ascii="Times New Roman" w:hAnsi="Times New Roman" w:cs="Times New Roman"/>
          <w:sz w:val="24"/>
          <w:szCs w:val="24"/>
        </w:rPr>
        <w:t>smaller firms</w:t>
      </w:r>
      <w:r w:rsidR="00976F4B">
        <w:rPr>
          <w:rFonts w:ascii="Times New Roman" w:hAnsi="Times New Roman" w:cs="Times New Roman"/>
          <w:sz w:val="24"/>
          <w:szCs w:val="24"/>
        </w:rPr>
        <w:t xml:space="preserve">, </w:t>
      </w:r>
      <w:r w:rsidR="00CF1A25" w:rsidRPr="00430D9C">
        <w:rPr>
          <w:rFonts w:ascii="Times New Roman" w:hAnsi="Times New Roman" w:cs="Times New Roman"/>
          <w:sz w:val="24"/>
          <w:szCs w:val="24"/>
        </w:rPr>
        <w:t xml:space="preserve">more highly levered firms, younger firms, </w:t>
      </w:r>
      <w:r w:rsidR="006A7037">
        <w:rPr>
          <w:rFonts w:ascii="Times New Roman" w:hAnsi="Times New Roman" w:cs="Times New Roman"/>
          <w:sz w:val="24"/>
          <w:szCs w:val="24"/>
        </w:rPr>
        <w:t xml:space="preserve">firms that capitalized more of their development costs, </w:t>
      </w:r>
      <w:r w:rsidR="00CF1A25" w:rsidRPr="00430D9C">
        <w:rPr>
          <w:rFonts w:ascii="Times New Roman" w:hAnsi="Times New Roman" w:cs="Times New Roman"/>
          <w:sz w:val="24"/>
          <w:szCs w:val="24"/>
        </w:rPr>
        <w:t>and firms not in</w:t>
      </w:r>
      <w:r>
        <w:rPr>
          <w:rFonts w:ascii="Times New Roman" w:hAnsi="Times New Roman" w:cs="Times New Roman"/>
          <w:sz w:val="24"/>
          <w:szCs w:val="24"/>
        </w:rPr>
        <w:t xml:space="preserve"> st</w:t>
      </w:r>
      <w:r w:rsidR="00CF1A25" w:rsidRPr="00430D9C">
        <w:rPr>
          <w:rFonts w:ascii="Times New Roman" w:hAnsi="Times New Roman" w:cs="Times New Roman"/>
          <w:sz w:val="24"/>
          <w:szCs w:val="24"/>
        </w:rPr>
        <w:t>eady</w:t>
      </w:r>
      <w:r>
        <w:rPr>
          <w:rFonts w:ascii="Times New Roman" w:hAnsi="Times New Roman" w:cs="Times New Roman"/>
          <w:sz w:val="24"/>
          <w:szCs w:val="24"/>
        </w:rPr>
        <w:t xml:space="preserve"> </w:t>
      </w:r>
      <w:r w:rsidR="00CF1A25" w:rsidRPr="00430D9C">
        <w:rPr>
          <w:rFonts w:ascii="Times New Roman" w:hAnsi="Times New Roman" w:cs="Times New Roman"/>
          <w:sz w:val="24"/>
          <w:szCs w:val="24"/>
        </w:rPr>
        <w:t xml:space="preserve">state </w:t>
      </w:r>
      <w:r w:rsidR="00823355">
        <w:rPr>
          <w:rFonts w:ascii="Times New Roman" w:hAnsi="Times New Roman" w:cs="Times New Roman"/>
          <w:sz w:val="24"/>
          <w:szCs w:val="24"/>
        </w:rPr>
        <w:t xml:space="preserve">with respect to their R&amp;D programs </w:t>
      </w:r>
      <w:r w:rsidR="00CF1A25" w:rsidRPr="00430D9C">
        <w:rPr>
          <w:rFonts w:ascii="Times New Roman" w:hAnsi="Times New Roman" w:cs="Times New Roman"/>
          <w:sz w:val="24"/>
          <w:szCs w:val="24"/>
        </w:rPr>
        <w:t>- are more likely to capitalize.</w:t>
      </w:r>
      <w:r w:rsidR="00841CAB">
        <w:rPr>
          <w:rFonts w:ascii="Times New Roman" w:hAnsi="Times New Roman" w:cs="Times New Roman"/>
          <w:sz w:val="24"/>
          <w:szCs w:val="24"/>
        </w:rPr>
        <w:t xml:space="preserve"> Conversely, older, larger firms</w:t>
      </w:r>
      <w:r w:rsidR="00481C96">
        <w:rPr>
          <w:rFonts w:ascii="Times New Roman" w:hAnsi="Times New Roman" w:cs="Times New Roman"/>
          <w:sz w:val="24"/>
          <w:szCs w:val="24"/>
        </w:rPr>
        <w:t>,</w:t>
      </w:r>
      <w:r w:rsidR="00841CAB">
        <w:rPr>
          <w:rFonts w:ascii="Times New Roman" w:hAnsi="Times New Roman" w:cs="Times New Roman"/>
          <w:sz w:val="24"/>
          <w:szCs w:val="24"/>
        </w:rPr>
        <w:t xml:space="preserve"> </w:t>
      </w:r>
      <w:r w:rsidR="0071689B">
        <w:rPr>
          <w:rFonts w:ascii="Times New Roman" w:hAnsi="Times New Roman" w:cs="Times New Roman"/>
          <w:sz w:val="24"/>
          <w:szCs w:val="24"/>
        </w:rPr>
        <w:t>and firms with higher</w:t>
      </w:r>
      <w:r w:rsidR="00A61478">
        <w:rPr>
          <w:rFonts w:ascii="Times New Roman" w:hAnsi="Times New Roman" w:cs="Times New Roman"/>
          <w:sz w:val="24"/>
          <w:szCs w:val="24"/>
        </w:rPr>
        <w:t xml:space="preserve"> R&amp;D intensity</w:t>
      </w:r>
      <w:r w:rsidR="0071689B">
        <w:rPr>
          <w:rFonts w:ascii="Times New Roman" w:hAnsi="Times New Roman" w:cs="Times New Roman"/>
          <w:sz w:val="24"/>
          <w:szCs w:val="24"/>
        </w:rPr>
        <w:t xml:space="preserve"> </w:t>
      </w:r>
      <w:r w:rsidR="00841CAB">
        <w:rPr>
          <w:rFonts w:ascii="Times New Roman" w:hAnsi="Times New Roman" w:cs="Times New Roman"/>
          <w:sz w:val="24"/>
          <w:szCs w:val="24"/>
        </w:rPr>
        <w:t>choos</w:t>
      </w:r>
      <w:r w:rsidR="00F10502">
        <w:rPr>
          <w:rFonts w:ascii="Times New Roman" w:hAnsi="Times New Roman" w:cs="Times New Roman"/>
          <w:sz w:val="24"/>
          <w:szCs w:val="24"/>
        </w:rPr>
        <w:t>e</w:t>
      </w:r>
      <w:r w:rsidR="00841CAB">
        <w:rPr>
          <w:rFonts w:ascii="Times New Roman" w:hAnsi="Times New Roman" w:cs="Times New Roman"/>
          <w:sz w:val="24"/>
          <w:szCs w:val="24"/>
        </w:rPr>
        <w:t xml:space="preserve"> to expense.</w:t>
      </w:r>
      <w:r w:rsidR="00CF1A25" w:rsidRPr="00187344">
        <w:rPr>
          <w:rFonts w:ascii="Times New Roman" w:hAnsi="Times New Roman" w:cs="Times New Roman"/>
          <w:sz w:val="24"/>
          <w:szCs w:val="24"/>
        </w:rPr>
        <w:t xml:space="preserve">    </w:t>
      </w:r>
    </w:p>
    <w:p w14:paraId="16BC514F" w14:textId="473C3408" w:rsidR="00CF1A25" w:rsidRDefault="00CF1A25" w:rsidP="00E71D4F">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The central message</w:t>
      </w:r>
      <w:r w:rsidR="000A2F2A">
        <w:rPr>
          <w:rFonts w:ascii="Times New Roman" w:hAnsi="Times New Roman" w:cs="Times New Roman"/>
          <w:sz w:val="24"/>
          <w:szCs w:val="24"/>
        </w:rPr>
        <w:t>s</w:t>
      </w:r>
      <w:r>
        <w:rPr>
          <w:rFonts w:ascii="Times New Roman" w:hAnsi="Times New Roman" w:cs="Times New Roman"/>
          <w:sz w:val="24"/>
          <w:szCs w:val="24"/>
        </w:rPr>
        <w:t xml:space="preserve"> of our analys</w:t>
      </w:r>
      <w:r w:rsidR="00200126">
        <w:rPr>
          <w:rFonts w:ascii="Times New Roman" w:hAnsi="Times New Roman" w:cs="Times New Roman"/>
          <w:sz w:val="24"/>
          <w:szCs w:val="24"/>
        </w:rPr>
        <w:t>es</w:t>
      </w:r>
      <w:r>
        <w:rPr>
          <w:rFonts w:ascii="Times New Roman" w:hAnsi="Times New Roman" w:cs="Times New Roman"/>
          <w:sz w:val="24"/>
          <w:szCs w:val="24"/>
        </w:rPr>
        <w:t xml:space="preserve"> </w:t>
      </w:r>
      <w:r w:rsidR="00DB6621">
        <w:rPr>
          <w:rFonts w:ascii="Times New Roman" w:hAnsi="Times New Roman" w:cs="Times New Roman"/>
          <w:sz w:val="24"/>
          <w:szCs w:val="24"/>
        </w:rPr>
        <w:t xml:space="preserve">in this section </w:t>
      </w:r>
      <w:r w:rsidR="000A2F2A">
        <w:rPr>
          <w:rFonts w:ascii="Times New Roman" w:hAnsi="Times New Roman" w:cs="Times New Roman"/>
          <w:sz w:val="24"/>
          <w:szCs w:val="24"/>
        </w:rPr>
        <w:t xml:space="preserve">are </w:t>
      </w:r>
      <w:r w:rsidR="00AD2E18">
        <w:rPr>
          <w:rFonts w:ascii="Times New Roman" w:hAnsi="Times New Roman" w:cs="Times New Roman"/>
          <w:sz w:val="24"/>
          <w:szCs w:val="24"/>
        </w:rPr>
        <w:t xml:space="preserve">that firms’ choice to capitalize or expense R&amp;D depends on </w:t>
      </w:r>
      <w:r w:rsidR="00772F61">
        <w:rPr>
          <w:rFonts w:ascii="Times New Roman" w:hAnsi="Times New Roman" w:cs="Times New Roman"/>
          <w:sz w:val="24"/>
          <w:szCs w:val="24"/>
        </w:rPr>
        <w:t xml:space="preserve">how they evaluate the </w:t>
      </w:r>
      <w:r w:rsidR="00AD2E18">
        <w:rPr>
          <w:rFonts w:ascii="Times New Roman" w:hAnsi="Times New Roman" w:cs="Times New Roman"/>
          <w:sz w:val="24"/>
          <w:szCs w:val="24"/>
        </w:rPr>
        <w:t>tradeoff</w:t>
      </w:r>
      <w:r w:rsidR="00772F61">
        <w:rPr>
          <w:rFonts w:ascii="Times New Roman" w:hAnsi="Times New Roman" w:cs="Times New Roman"/>
          <w:sz w:val="24"/>
          <w:szCs w:val="24"/>
        </w:rPr>
        <w:t xml:space="preserve"> </w:t>
      </w:r>
      <w:r w:rsidR="00B03866">
        <w:rPr>
          <w:rFonts w:ascii="Times New Roman" w:hAnsi="Times New Roman" w:cs="Times New Roman"/>
          <w:sz w:val="24"/>
          <w:szCs w:val="24"/>
        </w:rPr>
        <w:t xml:space="preserve">between capitalization’s benefit </w:t>
      </w:r>
      <w:r w:rsidR="00772F61">
        <w:rPr>
          <w:rFonts w:ascii="Times New Roman" w:hAnsi="Times New Roman" w:cs="Times New Roman"/>
          <w:sz w:val="24"/>
          <w:szCs w:val="24"/>
        </w:rPr>
        <w:t xml:space="preserve">of showing higher income </w:t>
      </w:r>
      <w:r w:rsidR="00B03866">
        <w:rPr>
          <w:rFonts w:ascii="Times New Roman" w:hAnsi="Times New Roman" w:cs="Times New Roman"/>
          <w:sz w:val="24"/>
          <w:szCs w:val="24"/>
        </w:rPr>
        <w:t>vs its costs of possible write-offs (admission of failed projects) and the negative signal about financial strength</w:t>
      </w:r>
      <w:r w:rsidR="00427A96">
        <w:rPr>
          <w:rFonts w:ascii="Times New Roman" w:hAnsi="Times New Roman" w:cs="Times New Roman"/>
          <w:sz w:val="24"/>
          <w:szCs w:val="24"/>
        </w:rPr>
        <w:t>.</w:t>
      </w:r>
      <w:r w:rsidR="000A2F2A">
        <w:rPr>
          <w:rFonts w:ascii="Times New Roman" w:hAnsi="Times New Roman" w:cs="Times New Roman"/>
          <w:sz w:val="24"/>
          <w:szCs w:val="24"/>
        </w:rPr>
        <w:t xml:space="preserve"> </w:t>
      </w:r>
      <w:r w:rsidR="009E36AE">
        <w:rPr>
          <w:rFonts w:ascii="Times New Roman" w:hAnsi="Times New Roman" w:cs="Times New Roman"/>
          <w:sz w:val="24"/>
          <w:szCs w:val="24"/>
        </w:rPr>
        <w:t xml:space="preserve"> </w:t>
      </w:r>
      <w:r w:rsidR="00823355">
        <w:rPr>
          <w:rFonts w:ascii="Times New Roman" w:hAnsi="Times New Roman" w:cs="Times New Roman"/>
          <w:sz w:val="24"/>
          <w:szCs w:val="24"/>
        </w:rPr>
        <w:t>We conjecture that as firms switched</w:t>
      </w:r>
      <w:r w:rsidR="00F22D61">
        <w:rPr>
          <w:rFonts w:ascii="Times New Roman" w:hAnsi="Times New Roman" w:cs="Times New Roman"/>
          <w:sz w:val="24"/>
          <w:szCs w:val="24"/>
        </w:rPr>
        <w:t xml:space="preserve"> </w:t>
      </w:r>
      <w:r w:rsidR="00200126">
        <w:rPr>
          <w:rFonts w:ascii="Times New Roman" w:hAnsi="Times New Roman" w:cs="Times New Roman"/>
          <w:sz w:val="24"/>
          <w:szCs w:val="24"/>
        </w:rPr>
        <w:t xml:space="preserve">to </w:t>
      </w:r>
      <w:r w:rsidR="003922EE">
        <w:rPr>
          <w:rFonts w:ascii="Times New Roman" w:hAnsi="Times New Roman" w:cs="Times New Roman"/>
          <w:sz w:val="24"/>
          <w:szCs w:val="24"/>
        </w:rPr>
        <w:t xml:space="preserve">mandatory </w:t>
      </w:r>
      <w:r w:rsidR="00200126">
        <w:rPr>
          <w:rFonts w:ascii="Times New Roman" w:hAnsi="Times New Roman" w:cs="Times New Roman"/>
          <w:sz w:val="24"/>
          <w:szCs w:val="24"/>
        </w:rPr>
        <w:t>capitalization under IFRS</w:t>
      </w:r>
      <w:r w:rsidR="003922EE">
        <w:rPr>
          <w:rFonts w:ascii="Times New Roman" w:hAnsi="Times New Roman" w:cs="Times New Roman"/>
          <w:sz w:val="24"/>
          <w:szCs w:val="24"/>
        </w:rPr>
        <w:t>,</w:t>
      </w:r>
      <w:r w:rsidR="00823355">
        <w:rPr>
          <w:rFonts w:ascii="Times New Roman" w:hAnsi="Times New Roman" w:cs="Times New Roman"/>
          <w:sz w:val="24"/>
          <w:szCs w:val="24"/>
        </w:rPr>
        <w:t xml:space="preserve"> they</w:t>
      </w:r>
      <w:r w:rsidR="00200126">
        <w:rPr>
          <w:rFonts w:ascii="Times New Roman" w:hAnsi="Times New Roman" w:cs="Times New Roman"/>
          <w:sz w:val="24"/>
          <w:szCs w:val="24"/>
        </w:rPr>
        <w:t xml:space="preserve"> increase</w:t>
      </w:r>
      <w:r w:rsidR="00DB6621">
        <w:rPr>
          <w:rFonts w:ascii="Times New Roman" w:hAnsi="Times New Roman" w:cs="Times New Roman"/>
          <w:sz w:val="24"/>
          <w:szCs w:val="24"/>
        </w:rPr>
        <w:t>d</w:t>
      </w:r>
      <w:r w:rsidR="00200126">
        <w:rPr>
          <w:rFonts w:ascii="Times New Roman" w:hAnsi="Times New Roman" w:cs="Times New Roman"/>
          <w:sz w:val="24"/>
          <w:szCs w:val="24"/>
        </w:rPr>
        <w:t xml:space="preserve"> their R&amp;D expenditures </w:t>
      </w:r>
      <w:r w:rsidR="00F22D61">
        <w:rPr>
          <w:rFonts w:ascii="Times New Roman" w:hAnsi="Times New Roman" w:cs="Times New Roman"/>
          <w:sz w:val="24"/>
          <w:szCs w:val="24"/>
        </w:rPr>
        <w:t xml:space="preserve">which were previously reduced to </w:t>
      </w:r>
      <w:r w:rsidR="00DB6621">
        <w:rPr>
          <w:rFonts w:ascii="Times New Roman" w:hAnsi="Times New Roman" w:cs="Times New Roman"/>
          <w:sz w:val="24"/>
          <w:szCs w:val="24"/>
        </w:rPr>
        <w:t xml:space="preserve">mitigate any </w:t>
      </w:r>
      <w:r w:rsidR="00F22D61">
        <w:rPr>
          <w:rFonts w:ascii="Times New Roman" w:hAnsi="Times New Roman" w:cs="Times New Roman"/>
          <w:sz w:val="24"/>
          <w:szCs w:val="24"/>
        </w:rPr>
        <w:t xml:space="preserve">negative impact on profitability. </w:t>
      </w:r>
      <w:r w:rsidR="00200126">
        <w:rPr>
          <w:rFonts w:ascii="Times New Roman" w:hAnsi="Times New Roman" w:cs="Times New Roman"/>
          <w:sz w:val="24"/>
          <w:szCs w:val="24"/>
        </w:rPr>
        <w:t>This is what we now test.</w:t>
      </w:r>
    </w:p>
    <w:p w14:paraId="1D3A6079" w14:textId="6393B581" w:rsidR="00470355" w:rsidRDefault="00470355" w:rsidP="00D34FE3">
      <w:pPr>
        <w:rPr>
          <w:rFonts w:ascii="Times New Roman" w:hAnsi="Times New Roman" w:cs="Times New Roman"/>
          <w:b/>
          <w:sz w:val="24"/>
          <w:szCs w:val="24"/>
        </w:rPr>
      </w:pPr>
    </w:p>
    <w:p w14:paraId="56458092" w14:textId="066CD2C0" w:rsidR="006316AC" w:rsidRPr="00894471" w:rsidRDefault="00200126" w:rsidP="00D34FE3">
      <w:pPr>
        <w:rPr>
          <w:rFonts w:ascii="Times New Roman" w:hAnsi="Times New Roman" w:cs="Times New Roman"/>
          <w:b/>
          <w:sz w:val="24"/>
          <w:szCs w:val="24"/>
        </w:rPr>
      </w:pPr>
      <w:r>
        <w:rPr>
          <w:rFonts w:ascii="Times New Roman" w:hAnsi="Times New Roman" w:cs="Times New Roman"/>
          <w:b/>
          <w:sz w:val="24"/>
          <w:szCs w:val="24"/>
        </w:rPr>
        <w:t xml:space="preserve">6. </w:t>
      </w:r>
      <w:r w:rsidR="007D0B97">
        <w:rPr>
          <w:rFonts w:ascii="Times New Roman" w:hAnsi="Times New Roman" w:cs="Times New Roman"/>
          <w:b/>
          <w:sz w:val="24"/>
          <w:szCs w:val="24"/>
        </w:rPr>
        <w:tab/>
      </w:r>
      <w:r>
        <w:rPr>
          <w:rFonts w:ascii="Times New Roman" w:hAnsi="Times New Roman" w:cs="Times New Roman"/>
          <w:b/>
          <w:sz w:val="24"/>
          <w:szCs w:val="24"/>
        </w:rPr>
        <w:t xml:space="preserve">Test </w:t>
      </w:r>
      <w:r w:rsidRPr="00200126">
        <w:rPr>
          <w:rFonts w:ascii="Times New Roman" w:hAnsi="Times New Roman" w:cs="Times New Roman"/>
          <w:b/>
          <w:sz w:val="24"/>
          <w:szCs w:val="24"/>
        </w:rPr>
        <w:t>Results</w:t>
      </w:r>
    </w:p>
    <w:p w14:paraId="048A3D2A" w14:textId="4AE3FFA1" w:rsidR="00C94A6A" w:rsidRPr="00200126" w:rsidRDefault="00AA050C" w:rsidP="007D0B97">
      <w:pPr>
        <w:pStyle w:val="ListParagraph"/>
        <w:numPr>
          <w:ilvl w:val="1"/>
          <w:numId w:val="9"/>
        </w:numPr>
        <w:tabs>
          <w:tab w:val="left" w:pos="360"/>
        </w:tabs>
        <w:spacing w:after="0" w:line="480" w:lineRule="auto"/>
        <w:ind w:left="0" w:firstLine="0"/>
        <w:rPr>
          <w:rFonts w:ascii="Times New Roman" w:hAnsi="Times New Roman" w:cs="Times New Roman"/>
          <w:i/>
          <w:sz w:val="24"/>
          <w:szCs w:val="24"/>
        </w:rPr>
      </w:pPr>
      <w:r>
        <w:rPr>
          <w:rFonts w:ascii="Times New Roman" w:hAnsi="Times New Roman" w:cs="Times New Roman"/>
          <w:i/>
          <w:sz w:val="24"/>
          <w:szCs w:val="24"/>
        </w:rPr>
        <w:t xml:space="preserve">Validating </w:t>
      </w:r>
      <w:r w:rsidR="00B5604E">
        <w:rPr>
          <w:rFonts w:ascii="Times New Roman" w:hAnsi="Times New Roman" w:cs="Times New Roman"/>
          <w:i/>
          <w:sz w:val="24"/>
          <w:szCs w:val="24"/>
        </w:rPr>
        <w:t xml:space="preserve">our Identification Strategy </w:t>
      </w:r>
    </w:p>
    <w:p w14:paraId="1743F772" w14:textId="13150FA3" w:rsidR="00496C5D" w:rsidRDefault="006A57D7" w:rsidP="0049330D">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Our Logit analysis showed that there are</w:t>
      </w:r>
      <w:r w:rsidR="00C94A6A">
        <w:rPr>
          <w:rFonts w:ascii="Times New Roman" w:hAnsi="Times New Roman" w:cs="Times New Roman"/>
          <w:sz w:val="24"/>
          <w:szCs w:val="24"/>
        </w:rPr>
        <w:t xml:space="preserve"> differences between switchers and capitalizers in the UK GAAP period</w:t>
      </w:r>
      <w:r w:rsidR="00C94A6A" w:rsidRPr="00A027F8">
        <w:rPr>
          <w:rFonts w:ascii="Times New Roman" w:hAnsi="Times New Roman" w:cs="Times New Roman"/>
          <w:sz w:val="24"/>
          <w:szCs w:val="24"/>
        </w:rPr>
        <w:t xml:space="preserve">, potentially invalidating our </w:t>
      </w:r>
      <w:r w:rsidR="00BC769B">
        <w:rPr>
          <w:rFonts w:ascii="Times New Roman" w:hAnsi="Times New Roman" w:cs="Times New Roman"/>
          <w:sz w:val="24"/>
          <w:szCs w:val="24"/>
        </w:rPr>
        <w:t xml:space="preserve">identification strategy. To address this issue, we </w:t>
      </w:r>
      <w:r w:rsidR="00F25801">
        <w:rPr>
          <w:rFonts w:ascii="Times New Roman" w:hAnsi="Times New Roman" w:cs="Times New Roman"/>
          <w:sz w:val="24"/>
          <w:szCs w:val="24"/>
        </w:rPr>
        <w:t>use</w:t>
      </w:r>
      <w:r w:rsidR="00E669C2">
        <w:rPr>
          <w:rFonts w:ascii="Times New Roman" w:hAnsi="Times New Roman" w:cs="Times New Roman"/>
          <w:sz w:val="24"/>
          <w:szCs w:val="24"/>
        </w:rPr>
        <w:t xml:space="preserve"> </w:t>
      </w:r>
      <w:r w:rsidR="00D34FE3">
        <w:rPr>
          <w:rFonts w:ascii="Times New Roman" w:hAnsi="Times New Roman" w:cs="Times New Roman"/>
          <w:sz w:val="24"/>
          <w:szCs w:val="24"/>
        </w:rPr>
        <w:t>entropy balancing (Hainmu</w:t>
      </w:r>
      <w:r w:rsidR="00C07749">
        <w:rPr>
          <w:rFonts w:ascii="Times New Roman" w:hAnsi="Times New Roman" w:cs="Times New Roman"/>
          <w:sz w:val="24"/>
          <w:szCs w:val="24"/>
        </w:rPr>
        <w:t>e</w:t>
      </w:r>
      <w:r w:rsidR="00D34FE3">
        <w:rPr>
          <w:rFonts w:ascii="Times New Roman" w:hAnsi="Times New Roman" w:cs="Times New Roman"/>
          <w:sz w:val="24"/>
          <w:szCs w:val="24"/>
        </w:rPr>
        <w:t>ller, 201</w:t>
      </w:r>
      <w:r w:rsidR="00C07749">
        <w:rPr>
          <w:rFonts w:ascii="Times New Roman" w:hAnsi="Times New Roman" w:cs="Times New Roman"/>
          <w:sz w:val="24"/>
          <w:szCs w:val="24"/>
        </w:rPr>
        <w:t>2</w:t>
      </w:r>
      <w:r w:rsidR="00D34FE3">
        <w:rPr>
          <w:rFonts w:ascii="Times New Roman" w:hAnsi="Times New Roman" w:cs="Times New Roman"/>
          <w:sz w:val="24"/>
          <w:szCs w:val="24"/>
        </w:rPr>
        <w:t>)</w:t>
      </w:r>
      <w:r w:rsidR="00F25801">
        <w:rPr>
          <w:rFonts w:ascii="Times New Roman" w:hAnsi="Times New Roman" w:cs="Times New Roman"/>
          <w:sz w:val="24"/>
          <w:szCs w:val="24"/>
        </w:rPr>
        <w:t xml:space="preserve">. </w:t>
      </w:r>
      <w:r w:rsidR="00C07749">
        <w:rPr>
          <w:rFonts w:ascii="Times New Roman" w:hAnsi="Times New Roman" w:cs="Times New Roman"/>
          <w:sz w:val="24"/>
          <w:szCs w:val="24"/>
        </w:rPr>
        <w:t xml:space="preserve">Our approach is to match on </w:t>
      </w:r>
      <w:r w:rsidR="00496C5D">
        <w:rPr>
          <w:rFonts w:ascii="Times New Roman" w:hAnsi="Times New Roman" w:cs="Times New Roman"/>
          <w:sz w:val="24"/>
          <w:szCs w:val="24"/>
        </w:rPr>
        <w:t xml:space="preserve">the </w:t>
      </w:r>
      <w:r w:rsidR="0026581E">
        <w:rPr>
          <w:rFonts w:ascii="Times New Roman" w:hAnsi="Times New Roman" w:cs="Times New Roman"/>
          <w:sz w:val="24"/>
          <w:szCs w:val="24"/>
        </w:rPr>
        <w:t>means</w:t>
      </w:r>
      <w:r w:rsidR="00C07749">
        <w:rPr>
          <w:rFonts w:ascii="Times New Roman" w:hAnsi="Times New Roman" w:cs="Times New Roman"/>
          <w:sz w:val="24"/>
          <w:szCs w:val="24"/>
        </w:rPr>
        <w:t xml:space="preserve"> of matching covariate distributions with a tolerance of 0.015</w:t>
      </w:r>
      <w:r w:rsidR="00B34F46">
        <w:rPr>
          <w:rFonts w:ascii="Times New Roman" w:hAnsi="Times New Roman" w:cs="Times New Roman"/>
          <w:sz w:val="24"/>
          <w:szCs w:val="24"/>
        </w:rPr>
        <w:t xml:space="preserve"> (Hainmueller and Xu, 2013)</w:t>
      </w:r>
      <w:r w:rsidR="00CA2B32">
        <w:rPr>
          <w:rFonts w:ascii="Times New Roman" w:hAnsi="Times New Roman" w:cs="Times New Roman"/>
          <w:sz w:val="24"/>
          <w:szCs w:val="24"/>
        </w:rPr>
        <w:t xml:space="preserve">. </w:t>
      </w:r>
      <w:r w:rsidR="005B6AE1">
        <w:rPr>
          <w:rFonts w:ascii="Times New Roman" w:hAnsi="Times New Roman" w:cs="Times New Roman"/>
          <w:sz w:val="24"/>
          <w:szCs w:val="24"/>
        </w:rPr>
        <w:t xml:space="preserve">We match in the </w:t>
      </w:r>
      <w:r w:rsidR="009B136A">
        <w:rPr>
          <w:rFonts w:ascii="Times New Roman" w:hAnsi="Times New Roman" w:cs="Times New Roman"/>
          <w:sz w:val="24"/>
          <w:szCs w:val="24"/>
        </w:rPr>
        <w:t xml:space="preserve">in the initial </w:t>
      </w:r>
      <w:r w:rsidR="005B6AE1">
        <w:rPr>
          <w:rFonts w:ascii="Times New Roman" w:hAnsi="Times New Roman" w:cs="Times New Roman"/>
          <w:sz w:val="24"/>
          <w:szCs w:val="24"/>
        </w:rPr>
        <w:t xml:space="preserve">year before IFRS adoption </w:t>
      </w:r>
      <w:r w:rsidR="009B136A">
        <w:rPr>
          <w:rFonts w:ascii="Times New Roman" w:hAnsi="Times New Roman" w:cs="Times New Roman"/>
          <w:sz w:val="24"/>
          <w:szCs w:val="24"/>
        </w:rPr>
        <w:t xml:space="preserve">in our sample, i.e. year t-4, </w:t>
      </w:r>
      <w:r w:rsidR="005B6AE1">
        <w:rPr>
          <w:rFonts w:ascii="Times New Roman" w:hAnsi="Times New Roman" w:cs="Times New Roman"/>
          <w:sz w:val="24"/>
          <w:szCs w:val="24"/>
        </w:rPr>
        <w:t xml:space="preserve">and use the same entropy balance weights in all years. </w:t>
      </w:r>
      <w:r w:rsidR="003924F4">
        <w:rPr>
          <w:rFonts w:ascii="Times New Roman" w:hAnsi="Times New Roman" w:cs="Times New Roman"/>
          <w:sz w:val="24"/>
          <w:szCs w:val="24"/>
        </w:rPr>
        <w:t xml:space="preserve">We use size, </w:t>
      </w:r>
      <w:r w:rsidR="00E22CF9">
        <w:rPr>
          <w:rFonts w:ascii="Times New Roman" w:hAnsi="Times New Roman" w:cs="Times New Roman"/>
          <w:sz w:val="24"/>
          <w:szCs w:val="24"/>
        </w:rPr>
        <w:t xml:space="preserve">R&amp;D intensity, </w:t>
      </w:r>
      <w:r w:rsidR="003924F4">
        <w:rPr>
          <w:rFonts w:ascii="Times New Roman" w:hAnsi="Times New Roman" w:cs="Times New Roman"/>
          <w:sz w:val="24"/>
          <w:szCs w:val="24"/>
        </w:rPr>
        <w:t>leverage, age</w:t>
      </w:r>
      <w:r w:rsidR="0046130B">
        <w:rPr>
          <w:rFonts w:ascii="Times New Roman" w:hAnsi="Times New Roman" w:cs="Times New Roman"/>
          <w:sz w:val="24"/>
          <w:szCs w:val="24"/>
        </w:rPr>
        <w:t xml:space="preserve">, </w:t>
      </w:r>
      <w:r w:rsidR="003924F4">
        <w:rPr>
          <w:rFonts w:ascii="Times New Roman" w:hAnsi="Times New Roman" w:cs="Times New Roman"/>
          <w:sz w:val="24"/>
          <w:szCs w:val="24"/>
        </w:rPr>
        <w:t>steady-state</w:t>
      </w:r>
      <w:r w:rsidR="00A623E2">
        <w:rPr>
          <w:rFonts w:ascii="Times New Roman" w:hAnsi="Times New Roman" w:cs="Times New Roman"/>
          <w:sz w:val="24"/>
          <w:szCs w:val="24"/>
        </w:rPr>
        <w:t>,</w:t>
      </w:r>
      <w:r w:rsidR="0046130B">
        <w:rPr>
          <w:rFonts w:ascii="Times New Roman" w:hAnsi="Times New Roman" w:cs="Times New Roman"/>
          <w:sz w:val="24"/>
          <w:szCs w:val="24"/>
        </w:rPr>
        <w:t xml:space="preserve"> and capitalization percentage</w:t>
      </w:r>
      <w:r w:rsidR="003924F4">
        <w:rPr>
          <w:rFonts w:ascii="Times New Roman" w:hAnsi="Times New Roman" w:cs="Times New Roman"/>
          <w:sz w:val="24"/>
          <w:szCs w:val="24"/>
        </w:rPr>
        <w:t xml:space="preserve"> as matching covariates because they are statistically significant determinants of the capitalization choice in </w:t>
      </w:r>
      <w:r w:rsidR="00CD0D88">
        <w:rPr>
          <w:rFonts w:ascii="Times New Roman" w:hAnsi="Times New Roman" w:cs="Times New Roman"/>
          <w:sz w:val="24"/>
          <w:szCs w:val="24"/>
        </w:rPr>
        <w:t xml:space="preserve">our Logit model in </w:t>
      </w:r>
      <w:r w:rsidR="003924F4">
        <w:rPr>
          <w:rFonts w:ascii="Times New Roman" w:hAnsi="Times New Roman" w:cs="Times New Roman"/>
          <w:sz w:val="24"/>
          <w:szCs w:val="24"/>
        </w:rPr>
        <w:t>Table 4.</w:t>
      </w:r>
      <w:r w:rsidR="00496C5D">
        <w:rPr>
          <w:rFonts w:ascii="Times New Roman" w:hAnsi="Times New Roman" w:cs="Times New Roman"/>
          <w:sz w:val="24"/>
          <w:szCs w:val="24"/>
        </w:rPr>
        <w:t xml:space="preserve"> </w:t>
      </w:r>
      <w:r w:rsidR="00F25801" w:rsidRPr="00200126">
        <w:rPr>
          <w:rFonts w:ascii="Times New Roman" w:hAnsi="Times New Roman" w:cs="Times New Roman"/>
          <w:sz w:val="24"/>
          <w:szCs w:val="24"/>
        </w:rPr>
        <w:t xml:space="preserve">We </w:t>
      </w:r>
      <w:r w:rsidR="008E54C0">
        <w:rPr>
          <w:rFonts w:ascii="Times New Roman" w:hAnsi="Times New Roman" w:cs="Times New Roman"/>
          <w:sz w:val="24"/>
          <w:szCs w:val="24"/>
        </w:rPr>
        <w:t>perform entropy balance weighting</w:t>
      </w:r>
      <w:r w:rsidR="00F25801" w:rsidRPr="00200126">
        <w:rPr>
          <w:rFonts w:ascii="Times New Roman" w:hAnsi="Times New Roman" w:cs="Times New Roman"/>
          <w:sz w:val="24"/>
          <w:szCs w:val="24"/>
        </w:rPr>
        <w:t xml:space="preserve"> separately for each </w:t>
      </w:r>
      <w:r w:rsidR="00B5604E">
        <w:rPr>
          <w:rFonts w:ascii="Times New Roman" w:hAnsi="Times New Roman" w:cs="Times New Roman"/>
          <w:sz w:val="24"/>
          <w:szCs w:val="24"/>
        </w:rPr>
        <w:t>dependent variable</w:t>
      </w:r>
      <w:r w:rsidR="00F25801">
        <w:rPr>
          <w:rFonts w:ascii="Times New Roman" w:hAnsi="Times New Roman" w:cs="Times New Roman"/>
          <w:sz w:val="24"/>
          <w:szCs w:val="24"/>
        </w:rPr>
        <w:t xml:space="preserve">. </w:t>
      </w:r>
      <w:r w:rsidR="00442F02">
        <w:rPr>
          <w:rFonts w:ascii="Times New Roman" w:hAnsi="Times New Roman" w:cs="Times New Roman"/>
          <w:sz w:val="24"/>
          <w:szCs w:val="24"/>
        </w:rPr>
        <w:t>Table 5</w:t>
      </w:r>
      <w:r w:rsidR="00442F02" w:rsidRPr="00200126">
        <w:rPr>
          <w:rFonts w:ascii="Times New Roman" w:hAnsi="Times New Roman" w:cs="Times New Roman"/>
          <w:sz w:val="24"/>
          <w:szCs w:val="24"/>
        </w:rPr>
        <w:t xml:space="preserve"> shows </w:t>
      </w:r>
      <w:r w:rsidR="008E54C0">
        <w:rPr>
          <w:rFonts w:ascii="Times New Roman" w:hAnsi="Times New Roman" w:cs="Times New Roman"/>
          <w:sz w:val="24"/>
          <w:szCs w:val="24"/>
        </w:rPr>
        <w:t>descriptive statistics on the matching covariates</w:t>
      </w:r>
      <w:r w:rsidR="00442F02" w:rsidRPr="005046F3">
        <w:rPr>
          <w:rFonts w:ascii="Times New Roman" w:hAnsi="Times New Roman" w:cs="Times New Roman"/>
          <w:sz w:val="24"/>
          <w:szCs w:val="24"/>
        </w:rPr>
        <w:t>.</w:t>
      </w:r>
      <w:r w:rsidR="00442F02" w:rsidRPr="00200126">
        <w:rPr>
          <w:rFonts w:ascii="Times New Roman" w:hAnsi="Times New Roman" w:cs="Times New Roman"/>
          <w:sz w:val="24"/>
          <w:szCs w:val="24"/>
        </w:rPr>
        <w:t xml:space="preserve"> </w:t>
      </w:r>
      <w:r w:rsidR="00A05189">
        <w:rPr>
          <w:rFonts w:ascii="Times New Roman" w:hAnsi="Times New Roman" w:cs="Times New Roman"/>
          <w:sz w:val="24"/>
          <w:szCs w:val="24"/>
        </w:rPr>
        <w:t xml:space="preserve">For brevity we only report the statistics for matching covariates in the </w:t>
      </w:r>
      <w:r w:rsidR="00195D21">
        <w:rPr>
          <w:rFonts w:ascii="Times New Roman" w:hAnsi="Times New Roman" w:cs="Times New Roman"/>
          <w:sz w:val="24"/>
          <w:szCs w:val="24"/>
        </w:rPr>
        <w:t xml:space="preserve">base sample </w:t>
      </w:r>
      <w:r w:rsidR="00A05189">
        <w:rPr>
          <w:rFonts w:ascii="Times New Roman" w:hAnsi="Times New Roman" w:cs="Times New Roman"/>
          <w:sz w:val="24"/>
          <w:szCs w:val="24"/>
        </w:rPr>
        <w:t xml:space="preserve">regression with RD_Gwth as the dependent variable </w:t>
      </w:r>
      <w:r w:rsidR="00195D21">
        <w:rPr>
          <w:rFonts w:ascii="Times New Roman" w:hAnsi="Times New Roman" w:cs="Times New Roman"/>
          <w:sz w:val="24"/>
          <w:szCs w:val="24"/>
        </w:rPr>
        <w:t xml:space="preserve">as the results are similar for the other regressions. </w:t>
      </w:r>
      <w:r w:rsidR="00CA2B32">
        <w:rPr>
          <w:rFonts w:ascii="Times New Roman" w:hAnsi="Times New Roman" w:cs="Times New Roman"/>
          <w:sz w:val="24"/>
          <w:szCs w:val="24"/>
        </w:rPr>
        <w:t xml:space="preserve">The mean </w:t>
      </w:r>
      <w:r w:rsidR="00195D21">
        <w:rPr>
          <w:rFonts w:ascii="Times New Roman" w:hAnsi="Times New Roman" w:cs="Times New Roman"/>
          <w:sz w:val="24"/>
          <w:szCs w:val="24"/>
        </w:rPr>
        <w:t>of</w:t>
      </w:r>
      <w:r w:rsidR="00CA2B32">
        <w:rPr>
          <w:rFonts w:ascii="Times New Roman" w:hAnsi="Times New Roman" w:cs="Times New Roman"/>
          <w:sz w:val="24"/>
          <w:szCs w:val="24"/>
        </w:rPr>
        <w:t xml:space="preserve"> the treatment and weighted control sample are </w:t>
      </w:r>
      <w:r w:rsidR="00DE3319">
        <w:rPr>
          <w:rFonts w:ascii="Times New Roman" w:hAnsi="Times New Roman" w:cs="Times New Roman"/>
          <w:sz w:val="24"/>
          <w:szCs w:val="24"/>
        </w:rPr>
        <w:t xml:space="preserve">now </w:t>
      </w:r>
      <w:r w:rsidR="00CA2B32">
        <w:rPr>
          <w:rFonts w:ascii="Times New Roman" w:hAnsi="Times New Roman" w:cs="Times New Roman"/>
          <w:sz w:val="24"/>
          <w:szCs w:val="24"/>
        </w:rPr>
        <w:t>identical</w:t>
      </w:r>
      <w:r w:rsidR="00676414">
        <w:rPr>
          <w:rFonts w:ascii="Times New Roman" w:hAnsi="Times New Roman" w:cs="Times New Roman"/>
          <w:sz w:val="24"/>
          <w:szCs w:val="24"/>
        </w:rPr>
        <w:t>, confirming the efficacy of our entropy balancing procedure</w:t>
      </w:r>
      <w:r w:rsidR="00CA2B32">
        <w:rPr>
          <w:rFonts w:ascii="Times New Roman" w:hAnsi="Times New Roman" w:cs="Times New Roman"/>
          <w:sz w:val="24"/>
          <w:szCs w:val="24"/>
        </w:rPr>
        <w:t>.</w:t>
      </w:r>
    </w:p>
    <w:p w14:paraId="2A05AE84" w14:textId="3704D0AD" w:rsidR="003A3438" w:rsidRDefault="003A3438" w:rsidP="0049330D">
      <w:pPr>
        <w:spacing w:after="0" w:line="480" w:lineRule="auto"/>
        <w:ind w:firstLine="567"/>
        <w:jc w:val="both"/>
        <w:rPr>
          <w:rFonts w:ascii="Times New Roman" w:hAnsi="Times New Roman" w:cs="Times New Roman"/>
          <w:sz w:val="24"/>
          <w:szCs w:val="24"/>
        </w:rPr>
      </w:pPr>
    </w:p>
    <w:p w14:paraId="4EC644B4" w14:textId="77777777" w:rsidR="003A3438" w:rsidRDefault="003A3438" w:rsidP="0049330D">
      <w:pPr>
        <w:spacing w:after="0" w:line="480" w:lineRule="auto"/>
        <w:ind w:firstLine="567"/>
        <w:jc w:val="both"/>
        <w:rPr>
          <w:rFonts w:ascii="Times New Roman" w:hAnsi="Times New Roman" w:cs="Times New Roman"/>
          <w:sz w:val="24"/>
          <w:szCs w:val="24"/>
        </w:rPr>
      </w:pPr>
    </w:p>
    <w:p w14:paraId="6E4CD8A3" w14:textId="4C543026" w:rsidR="00F67D90" w:rsidRPr="003922EE" w:rsidRDefault="00200126" w:rsidP="003922EE">
      <w:pPr>
        <w:tabs>
          <w:tab w:val="left" w:pos="360"/>
        </w:tabs>
        <w:spacing w:after="0" w:line="480" w:lineRule="auto"/>
        <w:rPr>
          <w:rFonts w:ascii="Times New Roman" w:hAnsi="Times New Roman" w:cs="Times New Roman"/>
          <w:sz w:val="24"/>
          <w:szCs w:val="24"/>
        </w:rPr>
      </w:pPr>
      <w:r w:rsidRPr="003922EE">
        <w:rPr>
          <w:rFonts w:ascii="Times New Roman" w:hAnsi="Times New Roman" w:cs="Times New Roman"/>
          <w:i/>
          <w:sz w:val="24"/>
          <w:szCs w:val="24"/>
        </w:rPr>
        <w:t xml:space="preserve">6.2 </w:t>
      </w:r>
      <w:r w:rsidR="00F67D90" w:rsidRPr="003922EE">
        <w:rPr>
          <w:rFonts w:ascii="Times New Roman" w:hAnsi="Times New Roman" w:cs="Times New Roman"/>
          <w:i/>
          <w:sz w:val="24"/>
          <w:szCs w:val="24"/>
        </w:rPr>
        <w:t>Primary Tests</w:t>
      </w:r>
    </w:p>
    <w:p w14:paraId="54CC88B2" w14:textId="4FDE67F5" w:rsidR="00B108B1" w:rsidRPr="00F67D90" w:rsidRDefault="00F67D90" w:rsidP="00C95F3F">
      <w:pPr>
        <w:spacing w:after="0" w:line="480" w:lineRule="auto"/>
        <w:ind w:firstLine="567"/>
        <w:jc w:val="both"/>
        <w:rPr>
          <w:rFonts w:ascii="Times New Roman" w:hAnsi="Times New Roman" w:cs="Times New Roman"/>
          <w:sz w:val="24"/>
          <w:szCs w:val="24"/>
        </w:rPr>
      </w:pPr>
      <w:r w:rsidRPr="003922EE">
        <w:rPr>
          <w:rFonts w:ascii="Times New Roman" w:hAnsi="Times New Roman" w:cs="Times New Roman"/>
          <w:sz w:val="24"/>
          <w:szCs w:val="24"/>
        </w:rPr>
        <w:t xml:space="preserve">Table </w:t>
      </w:r>
      <w:r w:rsidR="00572894" w:rsidRPr="003922EE">
        <w:rPr>
          <w:rFonts w:ascii="Times New Roman" w:hAnsi="Times New Roman" w:cs="Times New Roman"/>
          <w:sz w:val="24"/>
          <w:szCs w:val="24"/>
        </w:rPr>
        <w:t>6</w:t>
      </w:r>
      <w:r w:rsidRPr="003922EE">
        <w:rPr>
          <w:rFonts w:ascii="Times New Roman" w:hAnsi="Times New Roman" w:cs="Times New Roman"/>
          <w:sz w:val="24"/>
          <w:szCs w:val="24"/>
        </w:rPr>
        <w:t xml:space="preserve"> shows the primary regression results.</w:t>
      </w:r>
      <w:r w:rsidR="00F25702">
        <w:rPr>
          <w:rFonts w:ascii="Times New Roman" w:hAnsi="Times New Roman" w:cs="Times New Roman"/>
          <w:sz w:val="24"/>
          <w:szCs w:val="24"/>
        </w:rPr>
        <w:t xml:space="preserve"> </w:t>
      </w:r>
      <w:r w:rsidR="009F3383">
        <w:rPr>
          <w:rFonts w:ascii="Times New Roman" w:hAnsi="Times New Roman" w:cs="Times New Roman"/>
          <w:sz w:val="24"/>
          <w:szCs w:val="24"/>
        </w:rPr>
        <w:t>We estimate equation (1) on a balanced panel over the eight years from four years before thr</w:t>
      </w:r>
      <w:r w:rsidR="00BD75E5">
        <w:rPr>
          <w:rFonts w:ascii="Times New Roman" w:hAnsi="Times New Roman" w:cs="Times New Roman"/>
          <w:sz w:val="24"/>
          <w:szCs w:val="24"/>
        </w:rPr>
        <w:t>o</w:t>
      </w:r>
      <w:r w:rsidR="009F3383">
        <w:rPr>
          <w:rFonts w:ascii="Times New Roman" w:hAnsi="Times New Roman" w:cs="Times New Roman"/>
          <w:sz w:val="24"/>
          <w:szCs w:val="24"/>
        </w:rPr>
        <w:t>u</w:t>
      </w:r>
      <w:r w:rsidR="00BD75E5">
        <w:rPr>
          <w:rFonts w:ascii="Times New Roman" w:hAnsi="Times New Roman" w:cs="Times New Roman"/>
          <w:sz w:val="24"/>
          <w:szCs w:val="24"/>
        </w:rPr>
        <w:t>gh</w:t>
      </w:r>
      <w:r w:rsidR="009F3383">
        <w:rPr>
          <w:rFonts w:ascii="Times New Roman" w:hAnsi="Times New Roman" w:cs="Times New Roman"/>
          <w:sz w:val="24"/>
          <w:szCs w:val="24"/>
        </w:rPr>
        <w:t xml:space="preserve"> three years after IFRS adoption (adoption year is year 0).</w:t>
      </w:r>
      <w:r w:rsidR="00010004">
        <w:rPr>
          <w:rStyle w:val="FootnoteReference"/>
          <w:rFonts w:ascii="Times New Roman" w:hAnsi="Times New Roman" w:cs="Times New Roman"/>
          <w:sz w:val="24"/>
          <w:szCs w:val="24"/>
        </w:rPr>
        <w:footnoteReference w:id="17"/>
      </w:r>
      <w:r w:rsidR="009F3383">
        <w:rPr>
          <w:rFonts w:ascii="Times New Roman" w:hAnsi="Times New Roman" w:cs="Times New Roman"/>
          <w:sz w:val="24"/>
          <w:szCs w:val="24"/>
        </w:rPr>
        <w:t xml:space="preserve"> </w:t>
      </w:r>
      <w:r w:rsidR="00E71D4F">
        <w:rPr>
          <w:rFonts w:ascii="Times New Roman" w:hAnsi="Times New Roman" w:cs="Times New Roman"/>
          <w:sz w:val="24"/>
          <w:szCs w:val="24"/>
        </w:rPr>
        <w:t>Due to the outliers noted in Table 3, i</w:t>
      </w:r>
      <w:r w:rsidR="00484BFD">
        <w:rPr>
          <w:rFonts w:ascii="Times New Roman" w:hAnsi="Times New Roman" w:cs="Times New Roman"/>
          <w:sz w:val="24"/>
          <w:szCs w:val="24"/>
        </w:rPr>
        <w:t xml:space="preserve">n this and all subsequent </w:t>
      </w:r>
      <w:r w:rsidR="00316210">
        <w:rPr>
          <w:rFonts w:ascii="Times New Roman" w:hAnsi="Times New Roman" w:cs="Times New Roman"/>
          <w:sz w:val="24"/>
          <w:szCs w:val="24"/>
        </w:rPr>
        <w:t>regressions</w:t>
      </w:r>
      <w:r w:rsidR="005439F2">
        <w:rPr>
          <w:rFonts w:ascii="Times New Roman" w:hAnsi="Times New Roman" w:cs="Times New Roman"/>
          <w:sz w:val="24"/>
          <w:szCs w:val="24"/>
        </w:rPr>
        <w:t xml:space="preserve">, we </w:t>
      </w:r>
      <w:r w:rsidR="005439F2" w:rsidRPr="00A4407D">
        <w:rPr>
          <w:rFonts w:ascii="Times New Roman" w:hAnsi="Times New Roman" w:cs="Times New Roman"/>
          <w:sz w:val="24"/>
          <w:szCs w:val="24"/>
        </w:rPr>
        <w:t xml:space="preserve">winsorize </w:t>
      </w:r>
      <w:r w:rsidR="005439F2">
        <w:rPr>
          <w:rFonts w:ascii="Times New Roman" w:hAnsi="Times New Roman" w:cs="Times New Roman"/>
          <w:sz w:val="24"/>
          <w:szCs w:val="24"/>
        </w:rPr>
        <w:t>2</w:t>
      </w:r>
      <w:r w:rsidR="005439F2" w:rsidRPr="00A4407D">
        <w:rPr>
          <w:rFonts w:ascii="Times New Roman" w:hAnsi="Times New Roman" w:cs="Times New Roman"/>
          <w:sz w:val="24"/>
          <w:szCs w:val="24"/>
        </w:rPr>
        <w:t>.5% at the tails.</w:t>
      </w:r>
      <w:r w:rsidR="00290C46">
        <w:rPr>
          <w:rStyle w:val="FootnoteReference"/>
          <w:rFonts w:ascii="Times New Roman" w:hAnsi="Times New Roman" w:cs="Times New Roman"/>
          <w:sz w:val="24"/>
          <w:szCs w:val="24"/>
        </w:rPr>
        <w:footnoteReference w:id="18"/>
      </w:r>
      <w:r w:rsidR="005439F2" w:rsidRPr="00A4407D">
        <w:rPr>
          <w:rFonts w:ascii="Times New Roman" w:hAnsi="Times New Roman" w:cs="Times New Roman"/>
          <w:sz w:val="24"/>
          <w:szCs w:val="24"/>
        </w:rPr>
        <w:t xml:space="preserve"> </w:t>
      </w:r>
      <w:r w:rsidR="00B108B1">
        <w:rPr>
          <w:rFonts w:ascii="Times New Roman" w:hAnsi="Times New Roman" w:cs="Times New Roman"/>
          <w:sz w:val="24"/>
          <w:szCs w:val="24"/>
        </w:rPr>
        <w:t xml:space="preserve">For all three R&amp;D metrics, all of the coefficients on </w:t>
      </w:r>
      <w:r w:rsidR="003B7D2F">
        <w:rPr>
          <w:rFonts w:ascii="Times New Roman" w:hAnsi="Times New Roman" w:cs="Times New Roman"/>
          <w:sz w:val="24"/>
          <w:szCs w:val="24"/>
        </w:rPr>
        <w:t xml:space="preserve">SWITCH*IFRS </w:t>
      </w:r>
      <w:r w:rsidR="00F4243E">
        <w:rPr>
          <w:rFonts w:ascii="Times New Roman" w:hAnsi="Times New Roman" w:cs="Times New Roman"/>
          <w:sz w:val="24"/>
          <w:szCs w:val="24"/>
        </w:rPr>
        <w:t xml:space="preserve">year </w:t>
      </w:r>
      <w:r w:rsidR="00B108B1">
        <w:rPr>
          <w:rFonts w:ascii="Times New Roman" w:hAnsi="Times New Roman" w:cs="Times New Roman"/>
          <w:sz w:val="24"/>
          <w:szCs w:val="24"/>
        </w:rPr>
        <w:t>are</w:t>
      </w:r>
      <w:r w:rsidR="003B7D2F">
        <w:rPr>
          <w:rFonts w:ascii="Times New Roman" w:hAnsi="Times New Roman" w:cs="Times New Roman"/>
          <w:sz w:val="24"/>
          <w:szCs w:val="24"/>
        </w:rPr>
        <w:t xml:space="preserve"> significantly positive, indicating that in the IFRS adoption year, switchers increased their R&amp;D expenditure growth more than capitalizers. </w:t>
      </w:r>
      <w:r w:rsidR="00B108B1">
        <w:rPr>
          <w:rFonts w:ascii="Times New Roman" w:hAnsi="Times New Roman" w:cs="Times New Roman"/>
          <w:sz w:val="24"/>
          <w:szCs w:val="24"/>
        </w:rPr>
        <w:t>Moreover, the coefficients on SWITCH*IFRS</w:t>
      </w:r>
      <w:r w:rsidR="00F4243E">
        <w:rPr>
          <w:rFonts w:ascii="Times New Roman" w:hAnsi="Times New Roman" w:cs="Times New Roman"/>
          <w:sz w:val="24"/>
          <w:szCs w:val="24"/>
        </w:rPr>
        <w:t xml:space="preserve"> year </w:t>
      </w:r>
      <w:r w:rsidR="00B108B1">
        <w:rPr>
          <w:rFonts w:ascii="Times New Roman" w:hAnsi="Times New Roman" w:cs="Times New Roman"/>
          <w:sz w:val="24"/>
          <w:szCs w:val="24"/>
        </w:rPr>
        <w:t xml:space="preserve">are reasonable and indicate that the effect is economically important. For example, column 1 shows that the R&amp;D expenditure growth rate </w:t>
      </w:r>
      <w:r w:rsidR="00660D82">
        <w:rPr>
          <w:rFonts w:ascii="Times New Roman" w:hAnsi="Times New Roman" w:cs="Times New Roman"/>
          <w:sz w:val="24"/>
          <w:szCs w:val="24"/>
        </w:rPr>
        <w:t xml:space="preserve">for the switchers </w:t>
      </w:r>
      <w:r w:rsidR="00B108B1">
        <w:rPr>
          <w:rFonts w:ascii="Times New Roman" w:hAnsi="Times New Roman" w:cs="Times New Roman"/>
          <w:sz w:val="24"/>
          <w:szCs w:val="24"/>
        </w:rPr>
        <w:t xml:space="preserve">increased by </w:t>
      </w:r>
      <w:r w:rsidR="00427A96">
        <w:rPr>
          <w:rFonts w:ascii="Times New Roman" w:hAnsi="Times New Roman" w:cs="Times New Roman"/>
          <w:sz w:val="24"/>
          <w:szCs w:val="24"/>
        </w:rPr>
        <w:t>28</w:t>
      </w:r>
      <w:r w:rsidR="00E22CF9">
        <w:rPr>
          <w:rFonts w:ascii="Times New Roman" w:hAnsi="Times New Roman" w:cs="Times New Roman"/>
          <w:sz w:val="24"/>
          <w:szCs w:val="24"/>
        </w:rPr>
        <w:t>%</w:t>
      </w:r>
      <w:r w:rsidR="00660D82">
        <w:rPr>
          <w:rFonts w:ascii="Times New Roman" w:hAnsi="Times New Roman" w:cs="Times New Roman"/>
          <w:sz w:val="24"/>
          <w:szCs w:val="24"/>
        </w:rPr>
        <w:t xml:space="preserve"> more than it did for the capitalizers. </w:t>
      </w:r>
      <w:r w:rsidR="00B108B1">
        <w:rPr>
          <w:rFonts w:ascii="Times New Roman" w:hAnsi="Times New Roman" w:cs="Times New Roman"/>
          <w:sz w:val="24"/>
          <w:szCs w:val="24"/>
        </w:rPr>
        <w:t>Columns 2 and 3 show that relative to total assets and sales, R&amp;D expenditures increased by about 3%.</w:t>
      </w:r>
      <w:r w:rsidR="00B108B1">
        <w:rPr>
          <w:rStyle w:val="FootnoteReference"/>
          <w:rFonts w:ascii="Times New Roman" w:hAnsi="Times New Roman" w:cs="Times New Roman"/>
          <w:sz w:val="24"/>
          <w:szCs w:val="24"/>
        </w:rPr>
        <w:footnoteReference w:id="19"/>
      </w:r>
      <w:r w:rsidR="00B108B1" w:rsidRPr="007E7305">
        <w:rPr>
          <w:rFonts w:ascii="Times New Roman" w:hAnsi="Times New Roman" w:cs="Times New Roman"/>
          <w:sz w:val="24"/>
          <w:szCs w:val="24"/>
        </w:rPr>
        <w:t xml:space="preserve"> </w:t>
      </w:r>
      <w:r w:rsidR="00B108B1" w:rsidRPr="00F67D90">
        <w:rPr>
          <w:rFonts w:ascii="Times New Roman" w:hAnsi="Times New Roman" w:cs="Times New Roman"/>
          <w:sz w:val="24"/>
          <w:szCs w:val="24"/>
        </w:rPr>
        <w:t>In summary</w:t>
      </w:r>
      <w:r w:rsidR="00B108B1">
        <w:rPr>
          <w:rFonts w:ascii="Times New Roman" w:hAnsi="Times New Roman" w:cs="Times New Roman"/>
          <w:sz w:val="24"/>
          <w:szCs w:val="24"/>
        </w:rPr>
        <w:t>, our results</w:t>
      </w:r>
      <w:r w:rsidR="00B108B1" w:rsidRPr="00F67D90">
        <w:rPr>
          <w:rFonts w:ascii="Times New Roman" w:hAnsi="Times New Roman" w:cs="Times New Roman"/>
          <w:sz w:val="24"/>
          <w:szCs w:val="24"/>
        </w:rPr>
        <w:t xml:space="preserve"> support the hypothesis that </w:t>
      </w:r>
      <w:r w:rsidR="00B108B1">
        <w:rPr>
          <w:rFonts w:ascii="Times New Roman" w:hAnsi="Times New Roman" w:cs="Times New Roman"/>
          <w:sz w:val="24"/>
          <w:szCs w:val="24"/>
        </w:rPr>
        <w:t xml:space="preserve">the switch to </w:t>
      </w:r>
      <w:r w:rsidR="00B108B1" w:rsidRPr="00F67D90">
        <w:rPr>
          <w:rFonts w:ascii="Times New Roman" w:hAnsi="Times New Roman" w:cs="Times New Roman"/>
          <w:sz w:val="24"/>
          <w:szCs w:val="24"/>
        </w:rPr>
        <w:t>capitalization result</w:t>
      </w:r>
      <w:r w:rsidR="00B108B1">
        <w:rPr>
          <w:rFonts w:ascii="Times New Roman" w:hAnsi="Times New Roman" w:cs="Times New Roman"/>
          <w:sz w:val="24"/>
          <w:szCs w:val="24"/>
        </w:rPr>
        <w:t xml:space="preserve">ed in an increase in </w:t>
      </w:r>
      <w:r w:rsidR="00B108B1" w:rsidRPr="00F67D90">
        <w:rPr>
          <w:rFonts w:ascii="Times New Roman" w:hAnsi="Times New Roman" w:cs="Times New Roman"/>
          <w:sz w:val="24"/>
          <w:szCs w:val="24"/>
        </w:rPr>
        <w:t>R&amp;D expenditure</w:t>
      </w:r>
      <w:r w:rsidR="00B108B1">
        <w:rPr>
          <w:rFonts w:ascii="Times New Roman" w:hAnsi="Times New Roman" w:cs="Times New Roman"/>
          <w:sz w:val="24"/>
          <w:szCs w:val="24"/>
        </w:rPr>
        <w:t xml:space="preserve"> growth. </w:t>
      </w:r>
      <w:r w:rsidR="00B108B1" w:rsidRPr="00F67D90">
        <w:rPr>
          <w:rFonts w:ascii="Times New Roman" w:hAnsi="Times New Roman" w:cs="Times New Roman"/>
          <w:sz w:val="24"/>
          <w:szCs w:val="24"/>
        </w:rPr>
        <w:t>Thus, the change to mandatory capitalization affected R&amp;D investments.</w:t>
      </w:r>
    </w:p>
    <w:p w14:paraId="24379309" w14:textId="4900D2DA" w:rsidR="0031110C" w:rsidRDefault="00B108B1" w:rsidP="00D36E89">
      <w:pPr>
        <w:spacing w:after="0" w:line="48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In addition to the switch year effect, the results in Table 6 also address a number of important issues. First, f</w:t>
      </w:r>
      <w:r w:rsidR="000D18CB">
        <w:rPr>
          <w:rFonts w:ascii="Times New Roman" w:hAnsi="Times New Roman" w:cs="Times New Roman"/>
          <w:sz w:val="24"/>
          <w:szCs w:val="24"/>
        </w:rPr>
        <w:t>or all three R&amp;D metrics, all of the coefficients on SWITCH*IFRS</w:t>
      </w:r>
      <w:r w:rsidR="00F4243E">
        <w:rPr>
          <w:rFonts w:ascii="Times New Roman" w:hAnsi="Times New Roman" w:cs="Times New Roman"/>
          <w:sz w:val="24"/>
          <w:szCs w:val="24"/>
        </w:rPr>
        <w:t xml:space="preserve"> year</w:t>
      </w:r>
      <w:r w:rsidR="00F4243E" w:rsidRPr="00F4243E">
        <w:rPr>
          <w:rFonts w:ascii="Times New Roman" w:hAnsi="Times New Roman" w:cs="Times New Roman"/>
          <w:sz w:val="24"/>
          <w:szCs w:val="24"/>
          <w:vertAlign w:val="subscript"/>
        </w:rPr>
        <w:t>t</w:t>
      </w:r>
      <w:r w:rsidR="00F4243E">
        <w:rPr>
          <w:rFonts w:ascii="Times New Roman" w:hAnsi="Times New Roman" w:cs="Times New Roman"/>
          <w:sz w:val="24"/>
          <w:szCs w:val="24"/>
        </w:rPr>
        <w:t xml:space="preserve"> i</w:t>
      </w:r>
      <w:r w:rsidR="009F3383">
        <w:rPr>
          <w:rFonts w:ascii="Times New Roman" w:hAnsi="Times New Roman" w:cs="Times New Roman"/>
          <w:sz w:val="24"/>
          <w:szCs w:val="24"/>
        </w:rPr>
        <w:t>n the pre-IFRS period (t= -3</w:t>
      </w:r>
      <w:r w:rsidR="00483789">
        <w:rPr>
          <w:rFonts w:ascii="Times New Roman" w:hAnsi="Times New Roman" w:cs="Times New Roman"/>
          <w:sz w:val="24"/>
          <w:szCs w:val="24"/>
        </w:rPr>
        <w:t xml:space="preserve">, </w:t>
      </w:r>
      <w:r w:rsidR="009F3383">
        <w:rPr>
          <w:rFonts w:ascii="Times New Roman" w:hAnsi="Times New Roman" w:cs="Times New Roman"/>
          <w:sz w:val="24"/>
          <w:szCs w:val="24"/>
        </w:rPr>
        <w:t>-</w:t>
      </w:r>
      <w:r w:rsidR="00483789">
        <w:rPr>
          <w:rFonts w:ascii="Times New Roman" w:hAnsi="Times New Roman" w:cs="Times New Roman"/>
          <w:sz w:val="24"/>
          <w:szCs w:val="24"/>
        </w:rPr>
        <w:t xml:space="preserve">1) </w:t>
      </w:r>
      <w:r w:rsidR="000D18CB">
        <w:rPr>
          <w:rFonts w:ascii="Times New Roman" w:hAnsi="Times New Roman" w:cs="Times New Roman"/>
          <w:sz w:val="24"/>
          <w:szCs w:val="24"/>
        </w:rPr>
        <w:t xml:space="preserve">are indistinguishable from zero, indicating that the pre-treatment R&amp;D growth of the two groups, capitalizers and switchers, are similar, </w:t>
      </w:r>
      <w:r w:rsidR="00A04985">
        <w:rPr>
          <w:rFonts w:ascii="Times New Roman" w:hAnsi="Times New Roman" w:cs="Times New Roman"/>
          <w:sz w:val="24"/>
          <w:szCs w:val="24"/>
        </w:rPr>
        <w:t xml:space="preserve">providing evidence that the </w:t>
      </w:r>
      <w:r w:rsidR="000D18CB">
        <w:rPr>
          <w:rFonts w:ascii="Times New Roman" w:hAnsi="Times New Roman" w:cs="Times New Roman"/>
          <w:sz w:val="24"/>
          <w:szCs w:val="24"/>
        </w:rPr>
        <w:t xml:space="preserve"> parallel trends assumption</w:t>
      </w:r>
      <w:r w:rsidR="00A04985">
        <w:rPr>
          <w:rFonts w:ascii="Times New Roman" w:hAnsi="Times New Roman" w:cs="Times New Roman"/>
          <w:sz w:val="24"/>
          <w:szCs w:val="24"/>
        </w:rPr>
        <w:t xml:space="preserve"> is not violated</w:t>
      </w:r>
      <w:r w:rsidR="000D18CB">
        <w:rPr>
          <w:rFonts w:ascii="Times New Roman" w:hAnsi="Times New Roman" w:cs="Times New Roman"/>
          <w:sz w:val="24"/>
          <w:szCs w:val="24"/>
        </w:rPr>
        <w:t>.</w:t>
      </w:r>
      <w:r w:rsidR="005C511C">
        <w:rPr>
          <w:rStyle w:val="FootnoteReference"/>
          <w:rFonts w:ascii="Times New Roman" w:hAnsi="Times New Roman" w:cs="Times New Roman"/>
          <w:sz w:val="24"/>
          <w:szCs w:val="24"/>
        </w:rPr>
        <w:footnoteReference w:id="20"/>
      </w:r>
      <w:r w:rsidR="00F67D90" w:rsidRPr="003922EE">
        <w:rPr>
          <w:rFonts w:ascii="Times New Roman" w:hAnsi="Times New Roman" w:cs="Times New Roman"/>
          <w:sz w:val="24"/>
          <w:szCs w:val="24"/>
        </w:rPr>
        <w:t xml:space="preserve"> </w:t>
      </w:r>
      <w:r>
        <w:rPr>
          <w:rFonts w:ascii="Times New Roman" w:hAnsi="Times New Roman" w:cs="Times New Roman"/>
          <w:sz w:val="24"/>
          <w:szCs w:val="24"/>
        </w:rPr>
        <w:t>T</w:t>
      </w:r>
      <w:r w:rsidR="003B7D2F">
        <w:rPr>
          <w:rFonts w:ascii="Times New Roman" w:hAnsi="Times New Roman" w:cs="Times New Roman"/>
          <w:sz w:val="24"/>
          <w:szCs w:val="24"/>
        </w:rPr>
        <w:t xml:space="preserve">he pre-IFRS </w:t>
      </w:r>
      <w:r>
        <w:rPr>
          <w:rFonts w:ascii="Times New Roman" w:hAnsi="Times New Roman" w:cs="Times New Roman"/>
          <w:sz w:val="24"/>
          <w:szCs w:val="24"/>
        </w:rPr>
        <w:t xml:space="preserve">results also </w:t>
      </w:r>
      <w:r w:rsidR="003B7D2F">
        <w:rPr>
          <w:rFonts w:ascii="Times New Roman" w:hAnsi="Times New Roman" w:cs="Times New Roman"/>
          <w:sz w:val="24"/>
          <w:szCs w:val="24"/>
        </w:rPr>
        <w:t>indicate that switchers did not reduce their R&amp;D expenditures in anticipation of the switch</w:t>
      </w:r>
      <w:r>
        <w:rPr>
          <w:rFonts w:ascii="Times New Roman" w:hAnsi="Times New Roman" w:cs="Times New Roman"/>
          <w:sz w:val="24"/>
          <w:szCs w:val="24"/>
        </w:rPr>
        <w:t xml:space="preserve">; i.e., the switch year increase was a real increase, not </w:t>
      </w:r>
      <w:r w:rsidR="006E19C0">
        <w:rPr>
          <w:rFonts w:ascii="Times New Roman" w:hAnsi="Times New Roman" w:cs="Times New Roman"/>
          <w:sz w:val="24"/>
          <w:szCs w:val="24"/>
        </w:rPr>
        <w:t xml:space="preserve">simply </w:t>
      </w:r>
      <w:r>
        <w:rPr>
          <w:rFonts w:ascii="Times New Roman" w:hAnsi="Times New Roman" w:cs="Times New Roman"/>
          <w:sz w:val="24"/>
          <w:szCs w:val="24"/>
        </w:rPr>
        <w:t>a postponement</w:t>
      </w:r>
      <w:r w:rsidR="006E19C0">
        <w:rPr>
          <w:rFonts w:ascii="Times New Roman" w:hAnsi="Times New Roman" w:cs="Times New Roman"/>
          <w:sz w:val="24"/>
          <w:szCs w:val="24"/>
        </w:rPr>
        <w:t xml:space="preserve">. Finally, all coefficients in the post switch years are also insignificant, indicating that the initial </w:t>
      </w:r>
      <w:r w:rsidR="002F53C6">
        <w:rPr>
          <w:rFonts w:ascii="Times New Roman" w:hAnsi="Times New Roman" w:cs="Times New Roman"/>
          <w:sz w:val="24"/>
          <w:szCs w:val="24"/>
        </w:rPr>
        <w:t xml:space="preserve">growth rate increase </w:t>
      </w:r>
      <w:r w:rsidR="006E19C0">
        <w:rPr>
          <w:rFonts w:ascii="Times New Roman" w:hAnsi="Times New Roman" w:cs="Times New Roman"/>
          <w:sz w:val="24"/>
          <w:szCs w:val="24"/>
        </w:rPr>
        <w:t>was not followed by further</w:t>
      </w:r>
      <w:r w:rsidR="00E22CF9">
        <w:rPr>
          <w:rFonts w:ascii="Times New Roman" w:hAnsi="Times New Roman" w:cs="Times New Roman"/>
          <w:sz w:val="24"/>
          <w:szCs w:val="24"/>
        </w:rPr>
        <w:t xml:space="preserve"> growth rate</w:t>
      </w:r>
      <w:r w:rsidR="006E19C0">
        <w:rPr>
          <w:rFonts w:ascii="Times New Roman" w:hAnsi="Times New Roman" w:cs="Times New Roman"/>
          <w:sz w:val="24"/>
          <w:szCs w:val="24"/>
        </w:rPr>
        <w:t xml:space="preserve"> increases. The results for the pre and post switch periods are like “placebo” </w:t>
      </w:r>
      <w:r w:rsidR="006E19C0" w:rsidRPr="00B54389">
        <w:rPr>
          <w:rFonts w:ascii="Times New Roman" w:hAnsi="Times New Roman" w:cs="Times New Roman"/>
          <w:sz w:val="24"/>
          <w:szCs w:val="24"/>
        </w:rPr>
        <w:t>(</w:t>
      </w:r>
      <w:r w:rsidR="006E19C0">
        <w:rPr>
          <w:rFonts w:ascii="Times New Roman" w:hAnsi="Times New Roman" w:cs="Times New Roman"/>
          <w:sz w:val="24"/>
          <w:szCs w:val="24"/>
        </w:rPr>
        <w:t>falsification) tests</w:t>
      </w:r>
      <w:r w:rsidR="006E19C0" w:rsidRPr="00B54389">
        <w:rPr>
          <w:rFonts w:ascii="Times New Roman" w:hAnsi="Times New Roman" w:cs="Times New Roman"/>
          <w:sz w:val="24"/>
          <w:szCs w:val="24"/>
        </w:rPr>
        <w:t xml:space="preserve"> (</w:t>
      </w:r>
      <w:hyperlink w:anchor="_ENREF_9" w:tooltip="Bertrand, 2004 #2408" w:history="1">
        <w:r w:rsidR="006E19C0" w:rsidRPr="00B54389">
          <w:rPr>
            <w:rFonts w:ascii="Times New Roman" w:hAnsi="Times New Roman" w:cs="Times New Roman"/>
            <w:sz w:val="24"/>
            <w:szCs w:val="24"/>
          </w:rPr>
          <w:fldChar w:fldCharType="begin"/>
        </w:r>
        <w:r w:rsidR="006E19C0" w:rsidRPr="00B54389">
          <w:rPr>
            <w:rFonts w:ascii="Times New Roman" w:hAnsi="Times New Roman" w:cs="Times New Roman"/>
            <w:sz w:val="24"/>
            <w:szCs w:val="24"/>
          </w:rPr>
          <w:instrText xml:space="preserve"> ADDIN EN.CITE &lt;EndNote&gt;&lt;Cite AuthorYear="1"&gt;&lt;Author&gt;Bertrand&lt;/Author&gt;&lt;Year&gt;2004&lt;/Year&gt;&lt;RecNum&gt;2408&lt;/RecNum&gt;&lt;DisplayText&gt;Bertrand, Duflo, and Mullainathan (2004)&lt;/DisplayText&gt;&lt;record&gt;&lt;rec-number&gt;2408&lt;/rec-number&gt;&lt;foreign-keys&gt;&lt;key app="EN" db-id="e299ft2e1sdp9eetepsva9sr5f00ztpvtasp" timestamp="1377746710"&gt;2408&lt;/key&gt;&lt;key app="ENWeb" db-id=""&gt;0&lt;/key&gt;&lt;/foreign-keys&gt;&lt;ref-type name="Journal Article"&gt;17&lt;/ref-type&gt;&lt;contributors&gt;&lt;authors&gt;&lt;author&gt;Bertrand, Marianne&lt;/author&gt;&lt;author&gt;Duflo, Esther&lt;/author&gt;&lt;author&gt;Mullainathan, Sendhil&lt;/author&gt;&lt;/authors&gt;&lt;/contributors&gt;&lt;titles&gt;&lt;title&gt;How Much Should We Trust Differences-In-Differences Estimates?&lt;/title&gt;&lt;secondary-title&gt;The Quarterly Journal of Economics&lt;/secondary-title&gt;&lt;/titles&gt;&lt;periodical&gt;&lt;full-title&gt;The Quarterly Journal of Economics&lt;/full-title&gt;&lt;/periodical&gt;&lt;pages&gt;249-275&lt;/pages&gt;&lt;volume&gt;119&lt;/volume&gt;&lt;number&gt;1&lt;/number&gt;&lt;dates&gt;&lt;year&gt;2004&lt;/year&gt;&lt;pub-dates&gt;&lt;date&gt;February 1, 2004&lt;/date&gt;&lt;/pub-dates&gt;&lt;/dates&gt;&lt;urls&gt;&lt;related-urls&gt;&lt;url&gt;http://qje.oxfordjournals.org/content/119/1/249.abstract&lt;/url&gt;&lt;/related-urls&gt;&lt;/urls&gt;&lt;electronic-resource-num&gt;10.1162/003355304772839588&lt;/electronic-resource-num&gt;&lt;/record&gt;&lt;/Cite&gt;&lt;/EndNote&gt;</w:instrText>
        </w:r>
        <w:r w:rsidR="006E19C0" w:rsidRPr="00B54389">
          <w:rPr>
            <w:rFonts w:ascii="Times New Roman" w:hAnsi="Times New Roman" w:cs="Times New Roman"/>
            <w:sz w:val="24"/>
            <w:szCs w:val="24"/>
          </w:rPr>
          <w:fldChar w:fldCharType="separate"/>
        </w:r>
        <w:r w:rsidR="006E19C0" w:rsidRPr="00B54389">
          <w:rPr>
            <w:rFonts w:ascii="Times New Roman" w:hAnsi="Times New Roman" w:cs="Times New Roman"/>
            <w:sz w:val="24"/>
            <w:szCs w:val="24"/>
          </w:rPr>
          <w:t>Ber</w:t>
        </w:r>
        <w:r w:rsidR="006E19C0">
          <w:rPr>
            <w:rFonts w:ascii="Times New Roman" w:hAnsi="Times New Roman" w:cs="Times New Roman"/>
            <w:sz w:val="24"/>
            <w:szCs w:val="24"/>
          </w:rPr>
          <w:t xml:space="preserve">trand, Duflo, and Mullainathan, </w:t>
        </w:r>
        <w:r w:rsidR="006E19C0" w:rsidRPr="00B54389">
          <w:rPr>
            <w:rFonts w:ascii="Times New Roman" w:hAnsi="Times New Roman" w:cs="Times New Roman"/>
            <w:sz w:val="24"/>
            <w:szCs w:val="24"/>
          </w:rPr>
          <w:t>2004)</w:t>
        </w:r>
        <w:r w:rsidR="006E19C0" w:rsidRPr="00B54389">
          <w:rPr>
            <w:rFonts w:ascii="Times New Roman" w:hAnsi="Times New Roman" w:cs="Times New Roman"/>
            <w:sz w:val="24"/>
            <w:szCs w:val="24"/>
          </w:rPr>
          <w:fldChar w:fldCharType="end"/>
        </w:r>
      </w:hyperlink>
      <w:r w:rsidR="006E19C0">
        <w:rPr>
          <w:rFonts w:ascii="Times New Roman" w:hAnsi="Times New Roman" w:cs="Times New Roman"/>
          <w:sz w:val="24"/>
          <w:szCs w:val="24"/>
        </w:rPr>
        <w:t>, since we do not expect to find significant results if our hypothesis is correct that the switch to capitalization caused the increase in R&amp;D expenditures.</w:t>
      </w:r>
      <w:r w:rsidR="006E19C0" w:rsidRPr="0031110C">
        <w:rPr>
          <w:rFonts w:ascii="Times New Roman" w:hAnsi="Times New Roman" w:cs="Times New Roman"/>
          <w:sz w:val="24"/>
          <w:szCs w:val="24"/>
        </w:rPr>
        <w:t xml:space="preserve"> </w:t>
      </w:r>
      <w:r w:rsidR="006E19C0">
        <w:rPr>
          <w:rFonts w:ascii="Times New Roman" w:hAnsi="Times New Roman" w:cs="Times New Roman"/>
          <w:sz w:val="24"/>
          <w:szCs w:val="24"/>
        </w:rPr>
        <w:t xml:space="preserve">Overall, these results </w:t>
      </w:r>
      <w:r w:rsidR="006E19C0" w:rsidRPr="00F67D90">
        <w:rPr>
          <w:rFonts w:ascii="Times New Roman" w:hAnsi="Times New Roman" w:cs="Times New Roman"/>
          <w:sz w:val="24"/>
          <w:szCs w:val="24"/>
        </w:rPr>
        <w:t>increase our confidence in our interpretation of our primary results: switching firms increased their R&amp;D expenditures more than capitalizers due to the mandatory accounting change.</w:t>
      </w:r>
      <w:r w:rsidR="00657062">
        <w:rPr>
          <w:rStyle w:val="FootnoteReference"/>
          <w:rFonts w:ascii="Times New Roman" w:hAnsi="Times New Roman" w:cs="Times New Roman"/>
          <w:sz w:val="24"/>
          <w:szCs w:val="24"/>
        </w:rPr>
        <w:footnoteReference w:id="21"/>
      </w:r>
      <w:r w:rsidR="006E19C0" w:rsidRPr="00F67D90">
        <w:rPr>
          <w:rFonts w:ascii="Times New Roman" w:hAnsi="Times New Roman" w:cs="Times New Roman"/>
          <w:sz w:val="24"/>
          <w:szCs w:val="24"/>
        </w:rPr>
        <w:t xml:space="preserve"> </w:t>
      </w:r>
      <w:r w:rsidR="006E19C0" w:rsidRPr="009C1953">
        <w:rPr>
          <w:rFonts w:ascii="Times New Roman" w:hAnsi="Times New Roman" w:cs="Times New Roman"/>
          <w:sz w:val="24"/>
          <w:szCs w:val="24"/>
          <w:u w:val="single"/>
        </w:rPr>
        <w:t xml:space="preserve"> </w:t>
      </w:r>
    </w:p>
    <w:p w14:paraId="379BC3B4" w14:textId="77777777" w:rsidR="0060354E" w:rsidRDefault="0060354E" w:rsidP="00B014B4">
      <w:pPr>
        <w:contextualSpacing/>
        <w:rPr>
          <w:rFonts w:ascii="Times New Roman" w:hAnsi="Times New Roman" w:cs="Times New Roman"/>
          <w:i/>
          <w:sz w:val="24"/>
          <w:szCs w:val="24"/>
        </w:rPr>
      </w:pPr>
    </w:p>
    <w:p w14:paraId="7F8E225A" w14:textId="76425F69" w:rsidR="00F67D90" w:rsidRPr="003E7228" w:rsidRDefault="00967D47" w:rsidP="00B014B4">
      <w:pPr>
        <w:rPr>
          <w:rFonts w:ascii="Times New Roman" w:hAnsi="Times New Roman" w:cs="Times New Roman"/>
          <w:sz w:val="24"/>
          <w:szCs w:val="24"/>
        </w:rPr>
      </w:pPr>
      <w:r>
        <w:rPr>
          <w:rFonts w:ascii="Times New Roman" w:hAnsi="Times New Roman" w:cs="Times New Roman"/>
          <w:i/>
          <w:sz w:val="24"/>
          <w:szCs w:val="24"/>
        </w:rPr>
        <w:t>6</w:t>
      </w:r>
      <w:r w:rsidR="00F67D90" w:rsidRPr="00F67D90">
        <w:rPr>
          <w:rFonts w:ascii="Times New Roman" w:hAnsi="Times New Roman" w:cs="Times New Roman"/>
          <w:i/>
          <w:sz w:val="24"/>
          <w:szCs w:val="24"/>
        </w:rPr>
        <w:t>.</w:t>
      </w:r>
      <w:r w:rsidR="00D52036">
        <w:rPr>
          <w:rFonts w:ascii="Times New Roman" w:hAnsi="Times New Roman" w:cs="Times New Roman"/>
          <w:i/>
          <w:sz w:val="24"/>
          <w:szCs w:val="24"/>
        </w:rPr>
        <w:t>3</w:t>
      </w:r>
      <w:r w:rsidR="00F67D90" w:rsidRPr="00F67D90">
        <w:rPr>
          <w:rFonts w:ascii="Times New Roman" w:hAnsi="Times New Roman" w:cs="Times New Roman"/>
          <w:i/>
          <w:sz w:val="24"/>
          <w:szCs w:val="24"/>
        </w:rPr>
        <w:t xml:space="preserve"> </w:t>
      </w:r>
      <w:r w:rsidR="00D64D67">
        <w:rPr>
          <w:rFonts w:ascii="Times New Roman" w:hAnsi="Times New Roman" w:cs="Times New Roman"/>
          <w:i/>
          <w:sz w:val="24"/>
          <w:szCs w:val="24"/>
        </w:rPr>
        <w:t xml:space="preserve">Robustness </w:t>
      </w:r>
      <w:r w:rsidR="00F67D90" w:rsidRPr="00F67D90">
        <w:rPr>
          <w:rFonts w:ascii="Times New Roman" w:hAnsi="Times New Roman" w:cs="Times New Roman"/>
          <w:i/>
          <w:sz w:val="24"/>
          <w:szCs w:val="24"/>
        </w:rPr>
        <w:t>Tests</w:t>
      </w:r>
    </w:p>
    <w:p w14:paraId="0AC8C48B" w14:textId="246AA447" w:rsidR="00F67D90" w:rsidRPr="00F67D90" w:rsidRDefault="00F67D90" w:rsidP="000A1FE5">
      <w:pPr>
        <w:tabs>
          <w:tab w:val="left" w:pos="567"/>
        </w:tabs>
        <w:spacing w:after="0" w:line="480" w:lineRule="auto"/>
        <w:jc w:val="both"/>
        <w:rPr>
          <w:rFonts w:ascii="Times New Roman" w:hAnsi="Times New Roman" w:cs="Times New Roman"/>
          <w:sz w:val="24"/>
          <w:szCs w:val="24"/>
        </w:rPr>
      </w:pPr>
      <w:r w:rsidRPr="00F67D90">
        <w:rPr>
          <w:rFonts w:ascii="Times New Roman" w:hAnsi="Times New Roman" w:cs="Times New Roman"/>
          <w:sz w:val="24"/>
          <w:szCs w:val="24"/>
        </w:rPr>
        <w:tab/>
        <w:t xml:space="preserve">In our primary tests, we excluded firms that continued to expense R&amp;D even under IFRS, because we could not identify </w:t>
      </w:r>
      <w:r w:rsidR="00A657A8">
        <w:rPr>
          <w:rFonts w:ascii="Times New Roman" w:hAnsi="Times New Roman" w:cs="Times New Roman"/>
          <w:sz w:val="24"/>
          <w:szCs w:val="24"/>
        </w:rPr>
        <w:t>whether these firms only had research expenditures and/or development expenditures that did not satisfy the capitalization criteria</w:t>
      </w:r>
      <w:r w:rsidR="001C7AA4">
        <w:rPr>
          <w:rFonts w:ascii="Times New Roman" w:hAnsi="Times New Roman" w:cs="Times New Roman"/>
          <w:sz w:val="24"/>
          <w:szCs w:val="24"/>
        </w:rPr>
        <w:t xml:space="preserve">. For our first </w:t>
      </w:r>
      <w:r w:rsidRPr="00F67D90">
        <w:rPr>
          <w:rFonts w:ascii="Times New Roman" w:hAnsi="Times New Roman" w:cs="Times New Roman"/>
          <w:sz w:val="24"/>
          <w:szCs w:val="24"/>
        </w:rPr>
        <w:t xml:space="preserve">robustness test, we run </w:t>
      </w:r>
      <w:r w:rsidR="00BB5F39">
        <w:rPr>
          <w:rFonts w:ascii="Times New Roman" w:hAnsi="Times New Roman" w:cs="Times New Roman"/>
          <w:sz w:val="24"/>
          <w:szCs w:val="24"/>
        </w:rPr>
        <w:t>equation (1)</w:t>
      </w:r>
      <w:r w:rsidRPr="00F67D90">
        <w:rPr>
          <w:rFonts w:ascii="Times New Roman" w:hAnsi="Times New Roman" w:cs="Times New Roman"/>
          <w:sz w:val="24"/>
          <w:szCs w:val="24"/>
        </w:rPr>
        <w:t xml:space="preserve"> comparing these non-switchers to the switchers. Note that both of these groups started out with the same R&amp;D policy, as expensers under UK GAAP, and then diverged under IFRS. Although we </w:t>
      </w:r>
      <w:r w:rsidR="007E4AE8">
        <w:rPr>
          <w:rFonts w:ascii="Times New Roman" w:hAnsi="Times New Roman" w:cs="Times New Roman"/>
          <w:sz w:val="24"/>
          <w:szCs w:val="24"/>
        </w:rPr>
        <w:t xml:space="preserve">cannot be sure </w:t>
      </w:r>
      <w:r w:rsidR="00252D11">
        <w:rPr>
          <w:rFonts w:ascii="Times New Roman" w:hAnsi="Times New Roman" w:cs="Times New Roman"/>
          <w:sz w:val="24"/>
          <w:szCs w:val="24"/>
        </w:rPr>
        <w:t>w</w:t>
      </w:r>
      <w:r w:rsidR="00EE4774">
        <w:rPr>
          <w:rFonts w:ascii="Times New Roman" w:hAnsi="Times New Roman" w:cs="Times New Roman"/>
          <w:sz w:val="24"/>
          <w:szCs w:val="24"/>
        </w:rPr>
        <w:t xml:space="preserve">hether </w:t>
      </w:r>
      <w:r w:rsidRPr="00F67D90">
        <w:rPr>
          <w:rFonts w:ascii="Times New Roman" w:hAnsi="Times New Roman" w:cs="Times New Roman"/>
          <w:sz w:val="24"/>
          <w:szCs w:val="24"/>
        </w:rPr>
        <w:t>the non-switching</w:t>
      </w:r>
      <w:r w:rsidR="00362ADF">
        <w:rPr>
          <w:rFonts w:ascii="Times New Roman" w:hAnsi="Times New Roman" w:cs="Times New Roman"/>
          <w:sz w:val="24"/>
          <w:szCs w:val="24"/>
        </w:rPr>
        <w:t xml:space="preserve"> firms had only research expenditures or had development expenditures that did not meet the capitalization conditions</w:t>
      </w:r>
      <w:r w:rsidRPr="00F67D90">
        <w:rPr>
          <w:rFonts w:ascii="Times New Roman" w:hAnsi="Times New Roman" w:cs="Times New Roman"/>
          <w:sz w:val="24"/>
          <w:szCs w:val="24"/>
        </w:rPr>
        <w:t xml:space="preserve">, if the R&amp;D accounting method has the effects </w:t>
      </w:r>
      <w:r w:rsidR="003C4FE2">
        <w:rPr>
          <w:rFonts w:ascii="Times New Roman" w:hAnsi="Times New Roman" w:cs="Times New Roman"/>
          <w:sz w:val="24"/>
          <w:szCs w:val="24"/>
        </w:rPr>
        <w:t xml:space="preserve">we have </w:t>
      </w:r>
      <w:r w:rsidRPr="00F67D90">
        <w:rPr>
          <w:rFonts w:ascii="Times New Roman" w:hAnsi="Times New Roman" w:cs="Times New Roman"/>
          <w:sz w:val="24"/>
          <w:szCs w:val="24"/>
        </w:rPr>
        <w:t>posited, the reason may not matter; what matters is the method, per se. That is, the coefficient on</w:t>
      </w:r>
      <w:r w:rsidR="00B014B4" w:rsidRPr="00B014B4">
        <w:rPr>
          <w:rFonts w:ascii="Times New Roman" w:hAnsi="Times New Roman" w:cs="Times New Roman"/>
          <w:sz w:val="24"/>
          <w:szCs w:val="24"/>
        </w:rPr>
        <w:t xml:space="preserve"> </w:t>
      </w:r>
      <w:r w:rsidR="00B014B4">
        <w:rPr>
          <w:rFonts w:ascii="Times New Roman" w:hAnsi="Times New Roman" w:cs="Times New Roman"/>
          <w:sz w:val="24"/>
          <w:szCs w:val="24"/>
        </w:rPr>
        <w:t>SWITCH*IFRS</w:t>
      </w:r>
      <w:r w:rsidRPr="00F67D90">
        <w:rPr>
          <w:rFonts w:ascii="Times New Roman" w:hAnsi="Times New Roman" w:cs="Times New Roman"/>
          <w:sz w:val="24"/>
          <w:szCs w:val="24"/>
        </w:rPr>
        <w:t xml:space="preserve"> </w:t>
      </w:r>
      <w:r w:rsidR="00656271">
        <w:rPr>
          <w:rFonts w:ascii="Times New Roman" w:hAnsi="Times New Roman" w:cs="Times New Roman"/>
          <w:sz w:val="24"/>
          <w:szCs w:val="24"/>
        </w:rPr>
        <w:t xml:space="preserve">year </w:t>
      </w:r>
      <w:r w:rsidRPr="00F67D90">
        <w:rPr>
          <w:rFonts w:ascii="Times New Roman" w:hAnsi="Times New Roman" w:cs="Times New Roman"/>
          <w:sz w:val="24"/>
          <w:szCs w:val="24"/>
        </w:rPr>
        <w:t xml:space="preserve">should be positive, if firms that switched </w:t>
      </w:r>
      <w:r w:rsidR="009077E8">
        <w:rPr>
          <w:rFonts w:ascii="Times New Roman" w:hAnsi="Times New Roman" w:cs="Times New Roman"/>
          <w:sz w:val="24"/>
          <w:szCs w:val="24"/>
        </w:rPr>
        <w:t xml:space="preserve">increased their </w:t>
      </w:r>
      <w:r w:rsidRPr="00F67D90">
        <w:rPr>
          <w:rFonts w:ascii="Times New Roman" w:hAnsi="Times New Roman" w:cs="Times New Roman"/>
          <w:sz w:val="24"/>
          <w:szCs w:val="24"/>
        </w:rPr>
        <w:t>R&amp;D in</w:t>
      </w:r>
      <w:r w:rsidR="009077E8">
        <w:rPr>
          <w:rFonts w:ascii="Times New Roman" w:hAnsi="Times New Roman" w:cs="Times New Roman"/>
          <w:sz w:val="24"/>
          <w:szCs w:val="24"/>
        </w:rPr>
        <w:t xml:space="preserve">vestments </w:t>
      </w:r>
      <w:r w:rsidRPr="00F67D90">
        <w:rPr>
          <w:rFonts w:ascii="Times New Roman" w:hAnsi="Times New Roman" w:cs="Times New Roman"/>
          <w:sz w:val="24"/>
          <w:szCs w:val="24"/>
        </w:rPr>
        <w:t xml:space="preserve">in the </w:t>
      </w:r>
      <w:r w:rsidR="00E544F4">
        <w:rPr>
          <w:rFonts w:ascii="Times New Roman" w:hAnsi="Times New Roman" w:cs="Times New Roman"/>
          <w:sz w:val="24"/>
          <w:szCs w:val="24"/>
        </w:rPr>
        <w:t>IFRS</w:t>
      </w:r>
      <w:r w:rsidRPr="00F67D90">
        <w:rPr>
          <w:rFonts w:ascii="Times New Roman" w:hAnsi="Times New Roman" w:cs="Times New Roman"/>
          <w:sz w:val="24"/>
          <w:szCs w:val="24"/>
        </w:rPr>
        <w:t xml:space="preserve"> period, compared with firms that continued to expense. </w:t>
      </w:r>
    </w:p>
    <w:p w14:paraId="5328C70F" w14:textId="38764609" w:rsidR="00F67D90" w:rsidRPr="00F67D90" w:rsidRDefault="00F67D90" w:rsidP="00793F81">
      <w:pPr>
        <w:spacing w:after="0" w:line="480" w:lineRule="auto"/>
        <w:ind w:firstLine="567"/>
        <w:jc w:val="both"/>
        <w:rPr>
          <w:rFonts w:ascii="Times New Roman" w:hAnsi="Times New Roman" w:cs="Times New Roman"/>
          <w:sz w:val="24"/>
          <w:szCs w:val="24"/>
        </w:rPr>
      </w:pPr>
      <w:r w:rsidRPr="00F67D90">
        <w:rPr>
          <w:rFonts w:ascii="Times New Roman" w:hAnsi="Times New Roman" w:cs="Times New Roman"/>
          <w:sz w:val="24"/>
          <w:szCs w:val="24"/>
        </w:rPr>
        <w:t xml:space="preserve">The results are shown in Table </w:t>
      </w:r>
      <w:r w:rsidR="00116D85">
        <w:rPr>
          <w:rFonts w:ascii="Times New Roman" w:hAnsi="Times New Roman" w:cs="Times New Roman"/>
          <w:sz w:val="24"/>
          <w:szCs w:val="24"/>
        </w:rPr>
        <w:t>7</w:t>
      </w:r>
      <w:r w:rsidRPr="00F67D90">
        <w:rPr>
          <w:rFonts w:ascii="Times New Roman" w:hAnsi="Times New Roman" w:cs="Times New Roman"/>
          <w:sz w:val="24"/>
          <w:szCs w:val="24"/>
        </w:rPr>
        <w:t xml:space="preserve">. </w:t>
      </w:r>
      <w:r w:rsidR="00BB5F39">
        <w:rPr>
          <w:rFonts w:ascii="Times New Roman" w:hAnsi="Times New Roman" w:cs="Times New Roman"/>
          <w:sz w:val="24"/>
          <w:szCs w:val="24"/>
        </w:rPr>
        <w:t xml:space="preserve">Similar to Table 6, for all </w:t>
      </w:r>
      <w:r w:rsidR="00BB5F39" w:rsidRPr="00F67D90">
        <w:rPr>
          <w:rFonts w:ascii="Times New Roman" w:hAnsi="Times New Roman" w:cs="Times New Roman"/>
          <w:sz w:val="24"/>
          <w:szCs w:val="24"/>
        </w:rPr>
        <w:t>th</w:t>
      </w:r>
      <w:r w:rsidR="00BB5F39">
        <w:rPr>
          <w:rFonts w:ascii="Times New Roman" w:hAnsi="Times New Roman" w:cs="Times New Roman"/>
          <w:sz w:val="24"/>
          <w:szCs w:val="24"/>
        </w:rPr>
        <w:t>re</w:t>
      </w:r>
      <w:r w:rsidR="00BB5F39" w:rsidRPr="00F67D90">
        <w:rPr>
          <w:rFonts w:ascii="Times New Roman" w:hAnsi="Times New Roman" w:cs="Times New Roman"/>
          <w:sz w:val="24"/>
          <w:szCs w:val="24"/>
        </w:rPr>
        <w:t xml:space="preserve">e R&amp;D </w:t>
      </w:r>
      <w:r w:rsidR="00BB5F39">
        <w:rPr>
          <w:rFonts w:ascii="Times New Roman" w:hAnsi="Times New Roman" w:cs="Times New Roman"/>
          <w:sz w:val="24"/>
          <w:szCs w:val="24"/>
        </w:rPr>
        <w:t>metrics</w:t>
      </w:r>
      <w:r w:rsidR="00BB5F39" w:rsidRPr="00F67D90">
        <w:rPr>
          <w:rFonts w:ascii="Times New Roman" w:hAnsi="Times New Roman" w:cs="Times New Roman"/>
          <w:sz w:val="24"/>
          <w:szCs w:val="24"/>
        </w:rPr>
        <w:t xml:space="preserve">, </w:t>
      </w:r>
      <w:r w:rsidR="00BB5F39">
        <w:rPr>
          <w:rFonts w:ascii="Times New Roman" w:hAnsi="Times New Roman" w:cs="Times New Roman"/>
          <w:sz w:val="24"/>
          <w:szCs w:val="24"/>
        </w:rPr>
        <w:t>the coefficient of SWITCH*IFRS</w:t>
      </w:r>
      <w:r w:rsidR="00656271">
        <w:rPr>
          <w:rFonts w:ascii="Times New Roman" w:hAnsi="Times New Roman" w:cs="Times New Roman"/>
          <w:sz w:val="24"/>
          <w:szCs w:val="24"/>
          <w:vertAlign w:val="subscript"/>
        </w:rPr>
        <w:t xml:space="preserve"> </w:t>
      </w:r>
      <w:r w:rsidR="00656271">
        <w:rPr>
          <w:rFonts w:ascii="Times New Roman" w:hAnsi="Times New Roman" w:cs="Times New Roman"/>
          <w:sz w:val="24"/>
          <w:szCs w:val="24"/>
        </w:rPr>
        <w:t>year</w:t>
      </w:r>
      <w:r w:rsidR="00BB5F39">
        <w:rPr>
          <w:rFonts w:ascii="Times New Roman" w:hAnsi="Times New Roman" w:cs="Times New Roman"/>
          <w:sz w:val="24"/>
          <w:szCs w:val="24"/>
        </w:rPr>
        <w:t xml:space="preserve"> is significantly positive, indicating that in the IFRS adoption year, switchers increased their R&amp;D expenditure growth more than </w:t>
      </w:r>
      <w:r w:rsidR="00952D20">
        <w:rPr>
          <w:rFonts w:ascii="Times New Roman" w:hAnsi="Times New Roman" w:cs="Times New Roman"/>
          <w:sz w:val="24"/>
          <w:szCs w:val="24"/>
        </w:rPr>
        <w:t xml:space="preserve">firms that continued to expense. </w:t>
      </w:r>
      <w:r w:rsidR="00820BAC">
        <w:rPr>
          <w:rFonts w:ascii="Times New Roman" w:hAnsi="Times New Roman" w:cs="Times New Roman"/>
          <w:sz w:val="24"/>
          <w:szCs w:val="24"/>
        </w:rPr>
        <w:t xml:space="preserve">  </w:t>
      </w:r>
    </w:p>
    <w:p w14:paraId="35B1550A" w14:textId="7DCDA63B" w:rsidR="00497FE3" w:rsidRDefault="00497A52" w:rsidP="0064665B">
      <w:pPr>
        <w:tabs>
          <w:tab w:val="left" w:pos="720"/>
          <w:tab w:val="left" w:pos="21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F67D90" w:rsidRPr="00F67D90">
        <w:rPr>
          <w:rFonts w:ascii="Times New Roman" w:hAnsi="Times New Roman" w:cs="Times New Roman"/>
          <w:sz w:val="24"/>
          <w:szCs w:val="24"/>
        </w:rPr>
        <w:t xml:space="preserve">Earlier we pointed out that while </w:t>
      </w:r>
      <w:r w:rsidR="002566EA">
        <w:rPr>
          <w:rFonts w:ascii="Times New Roman" w:hAnsi="Times New Roman" w:cs="Times New Roman"/>
          <w:sz w:val="24"/>
          <w:szCs w:val="24"/>
        </w:rPr>
        <w:t xml:space="preserve">LSE </w:t>
      </w:r>
      <w:r w:rsidR="00F67D90" w:rsidRPr="00F67D90">
        <w:rPr>
          <w:rFonts w:ascii="Times New Roman" w:hAnsi="Times New Roman" w:cs="Times New Roman"/>
          <w:sz w:val="24"/>
          <w:szCs w:val="24"/>
        </w:rPr>
        <w:t>firms were required to adopt IFRS in 2005</w:t>
      </w:r>
      <w:r w:rsidR="00944049">
        <w:rPr>
          <w:rFonts w:ascii="Times New Roman" w:hAnsi="Times New Roman" w:cs="Times New Roman"/>
          <w:sz w:val="24"/>
          <w:szCs w:val="24"/>
        </w:rPr>
        <w:t>/2006</w:t>
      </w:r>
      <w:r w:rsidR="00F67D90" w:rsidRPr="00F67D90">
        <w:rPr>
          <w:rFonts w:ascii="Times New Roman" w:hAnsi="Times New Roman" w:cs="Times New Roman"/>
          <w:sz w:val="24"/>
          <w:szCs w:val="24"/>
        </w:rPr>
        <w:t xml:space="preserve">, </w:t>
      </w:r>
      <w:r w:rsidR="002566EA">
        <w:rPr>
          <w:rFonts w:ascii="Times New Roman" w:hAnsi="Times New Roman" w:cs="Times New Roman"/>
          <w:sz w:val="24"/>
          <w:szCs w:val="24"/>
        </w:rPr>
        <w:t xml:space="preserve">AIM </w:t>
      </w:r>
      <w:r w:rsidR="00F67D90" w:rsidRPr="00F67D90">
        <w:rPr>
          <w:rFonts w:ascii="Times New Roman" w:hAnsi="Times New Roman" w:cs="Times New Roman"/>
          <w:sz w:val="24"/>
          <w:szCs w:val="24"/>
        </w:rPr>
        <w:t>firms were</w:t>
      </w:r>
      <w:r w:rsidR="000028D0">
        <w:rPr>
          <w:rFonts w:ascii="Times New Roman" w:hAnsi="Times New Roman" w:cs="Times New Roman"/>
          <w:sz w:val="24"/>
          <w:szCs w:val="24"/>
        </w:rPr>
        <w:t xml:space="preserve"> required to adopt IFRS in 2007/2008</w:t>
      </w:r>
      <w:r w:rsidR="001E0CD3">
        <w:rPr>
          <w:rFonts w:ascii="Times New Roman" w:hAnsi="Times New Roman" w:cs="Times New Roman"/>
          <w:sz w:val="24"/>
          <w:szCs w:val="24"/>
        </w:rPr>
        <w:t xml:space="preserve">; i.e., </w:t>
      </w:r>
      <w:r w:rsidR="00F67D90" w:rsidRPr="00F67D90">
        <w:rPr>
          <w:rFonts w:ascii="Times New Roman" w:hAnsi="Times New Roman" w:cs="Times New Roman"/>
          <w:sz w:val="24"/>
          <w:szCs w:val="24"/>
        </w:rPr>
        <w:t xml:space="preserve">firms were staggered in their switch years. In particular, by </w:t>
      </w:r>
      <w:r w:rsidR="00944049">
        <w:rPr>
          <w:rFonts w:ascii="Times New Roman" w:hAnsi="Times New Roman" w:cs="Times New Roman"/>
          <w:sz w:val="24"/>
          <w:szCs w:val="24"/>
        </w:rPr>
        <w:t xml:space="preserve">the end of </w:t>
      </w:r>
      <w:r w:rsidR="00F67D90" w:rsidRPr="00F67D90">
        <w:rPr>
          <w:rFonts w:ascii="Times New Roman" w:hAnsi="Times New Roman" w:cs="Times New Roman"/>
          <w:sz w:val="24"/>
          <w:szCs w:val="24"/>
        </w:rPr>
        <w:t xml:space="preserve">2006 only the early switchers had switched; the late switchers were still expensers. </w:t>
      </w:r>
      <w:r w:rsidR="00F26189">
        <w:rPr>
          <w:rFonts w:ascii="Times New Roman" w:hAnsi="Times New Roman" w:cs="Times New Roman"/>
          <w:sz w:val="24"/>
          <w:szCs w:val="24"/>
        </w:rPr>
        <w:t xml:space="preserve">Using staggered adoption dates </w:t>
      </w:r>
      <w:r w:rsidR="00735C2E">
        <w:rPr>
          <w:rFonts w:ascii="Times New Roman" w:hAnsi="Times New Roman" w:cs="Times New Roman"/>
          <w:sz w:val="24"/>
          <w:szCs w:val="24"/>
        </w:rPr>
        <w:t>(Bertrand and Mullainathan, 2003</w:t>
      </w:r>
      <w:r w:rsidR="00A65967">
        <w:rPr>
          <w:rFonts w:ascii="Times New Roman" w:hAnsi="Times New Roman" w:cs="Times New Roman"/>
          <w:sz w:val="24"/>
          <w:szCs w:val="24"/>
        </w:rPr>
        <w:t>; Christensen et al</w:t>
      </w:r>
      <w:r w:rsidR="0064665B">
        <w:rPr>
          <w:rFonts w:ascii="Times New Roman" w:hAnsi="Times New Roman" w:cs="Times New Roman"/>
          <w:sz w:val="24"/>
          <w:szCs w:val="24"/>
        </w:rPr>
        <w:t>.</w:t>
      </w:r>
      <w:r w:rsidR="00A65967">
        <w:rPr>
          <w:rFonts w:ascii="Times New Roman" w:hAnsi="Times New Roman" w:cs="Times New Roman"/>
          <w:sz w:val="24"/>
          <w:szCs w:val="24"/>
        </w:rPr>
        <w:t xml:space="preserve"> 2017</w:t>
      </w:r>
      <w:r w:rsidR="00E55EC8">
        <w:rPr>
          <w:rFonts w:ascii="Times New Roman" w:hAnsi="Times New Roman" w:cs="Times New Roman"/>
          <w:sz w:val="24"/>
          <w:szCs w:val="24"/>
        </w:rPr>
        <w:t>, Shroff 20</w:t>
      </w:r>
      <w:r w:rsidR="00B0788D">
        <w:rPr>
          <w:rFonts w:ascii="Times New Roman" w:hAnsi="Times New Roman" w:cs="Times New Roman"/>
          <w:sz w:val="24"/>
          <w:szCs w:val="24"/>
        </w:rPr>
        <w:t>20</w:t>
      </w:r>
      <w:r w:rsidR="00735C2E">
        <w:rPr>
          <w:rFonts w:ascii="Times New Roman" w:hAnsi="Times New Roman" w:cs="Times New Roman"/>
          <w:sz w:val="24"/>
          <w:szCs w:val="24"/>
        </w:rPr>
        <w:t xml:space="preserve">) </w:t>
      </w:r>
      <w:r w:rsidR="00F26189">
        <w:rPr>
          <w:rFonts w:ascii="Times New Roman" w:hAnsi="Times New Roman" w:cs="Times New Roman"/>
          <w:sz w:val="24"/>
          <w:szCs w:val="24"/>
        </w:rPr>
        <w:t>is a common identif</w:t>
      </w:r>
      <w:r w:rsidR="00A70F0B">
        <w:rPr>
          <w:rFonts w:ascii="Times New Roman" w:hAnsi="Times New Roman" w:cs="Times New Roman"/>
          <w:sz w:val="24"/>
          <w:szCs w:val="24"/>
        </w:rPr>
        <w:t>ication strategy</w:t>
      </w:r>
      <w:r w:rsidR="00735C2E">
        <w:rPr>
          <w:rFonts w:ascii="Times New Roman" w:hAnsi="Times New Roman" w:cs="Times New Roman"/>
          <w:sz w:val="24"/>
          <w:szCs w:val="24"/>
        </w:rPr>
        <w:t>.</w:t>
      </w:r>
      <w:r w:rsidR="004F4682">
        <w:rPr>
          <w:rFonts w:ascii="Times New Roman" w:hAnsi="Times New Roman" w:cs="Times New Roman"/>
          <w:sz w:val="24"/>
          <w:szCs w:val="24"/>
        </w:rPr>
        <w:t xml:space="preserve"> </w:t>
      </w:r>
      <w:r w:rsidR="00F67D90" w:rsidRPr="00F67D90">
        <w:rPr>
          <w:rFonts w:ascii="Times New Roman" w:hAnsi="Times New Roman" w:cs="Times New Roman"/>
          <w:sz w:val="24"/>
          <w:szCs w:val="24"/>
        </w:rPr>
        <w:t xml:space="preserve">If capitalization motivates firms to increase their R&amp;D expenditures, then early switchers should have greater R&amp;D </w:t>
      </w:r>
      <w:r w:rsidR="000C53E4">
        <w:rPr>
          <w:rFonts w:ascii="Times New Roman" w:hAnsi="Times New Roman" w:cs="Times New Roman"/>
          <w:sz w:val="24"/>
          <w:szCs w:val="24"/>
        </w:rPr>
        <w:t>growth</w:t>
      </w:r>
      <w:r w:rsidR="00F67D90" w:rsidRPr="00F67D90">
        <w:rPr>
          <w:rFonts w:ascii="Times New Roman" w:hAnsi="Times New Roman" w:cs="Times New Roman"/>
          <w:sz w:val="24"/>
          <w:szCs w:val="24"/>
        </w:rPr>
        <w:t xml:space="preserve"> </w:t>
      </w:r>
      <w:r w:rsidR="009077E8">
        <w:rPr>
          <w:rFonts w:ascii="Times New Roman" w:hAnsi="Times New Roman" w:cs="Times New Roman"/>
          <w:sz w:val="24"/>
          <w:szCs w:val="24"/>
        </w:rPr>
        <w:t xml:space="preserve">than late switchers </w:t>
      </w:r>
      <w:r w:rsidR="00F67D90" w:rsidRPr="00F67D90">
        <w:rPr>
          <w:rFonts w:ascii="Times New Roman" w:hAnsi="Times New Roman" w:cs="Times New Roman"/>
          <w:sz w:val="24"/>
          <w:szCs w:val="24"/>
        </w:rPr>
        <w:t xml:space="preserve">in </w:t>
      </w:r>
      <w:r w:rsidR="00944049">
        <w:rPr>
          <w:rFonts w:ascii="Times New Roman" w:hAnsi="Times New Roman" w:cs="Times New Roman"/>
          <w:sz w:val="24"/>
          <w:szCs w:val="24"/>
        </w:rPr>
        <w:t>2005/</w:t>
      </w:r>
      <w:r w:rsidR="00F67D90" w:rsidRPr="00F67D90">
        <w:rPr>
          <w:rFonts w:ascii="Times New Roman" w:hAnsi="Times New Roman" w:cs="Times New Roman"/>
          <w:sz w:val="24"/>
          <w:szCs w:val="24"/>
        </w:rPr>
        <w:t xml:space="preserve">2006. </w:t>
      </w:r>
      <w:r w:rsidR="001E0CD3">
        <w:rPr>
          <w:rFonts w:ascii="Times New Roman" w:hAnsi="Times New Roman" w:cs="Times New Roman"/>
          <w:sz w:val="24"/>
          <w:szCs w:val="24"/>
        </w:rPr>
        <w:t>Thus, f</w:t>
      </w:r>
      <w:r w:rsidR="001C7AA4">
        <w:rPr>
          <w:rFonts w:ascii="Times New Roman" w:hAnsi="Times New Roman" w:cs="Times New Roman"/>
          <w:sz w:val="24"/>
          <w:szCs w:val="24"/>
        </w:rPr>
        <w:t xml:space="preserve">or our second robustness test, </w:t>
      </w:r>
      <w:r w:rsidR="00F67D90" w:rsidRPr="00F67D90">
        <w:rPr>
          <w:rFonts w:ascii="Times New Roman" w:hAnsi="Times New Roman" w:cs="Times New Roman"/>
          <w:sz w:val="24"/>
          <w:szCs w:val="24"/>
        </w:rPr>
        <w:t xml:space="preserve">we </w:t>
      </w:r>
      <w:r w:rsidR="001171DC">
        <w:rPr>
          <w:rFonts w:ascii="Times New Roman" w:hAnsi="Times New Roman" w:cs="Times New Roman"/>
          <w:sz w:val="24"/>
          <w:szCs w:val="24"/>
        </w:rPr>
        <w:t>estimate the following model on switchers only, using 2005 and 2006 data, with a</w:t>
      </w:r>
      <w:r w:rsidR="008844EF">
        <w:rPr>
          <w:rFonts w:ascii="Times New Roman" w:hAnsi="Times New Roman" w:cs="Times New Roman"/>
          <w:sz w:val="24"/>
          <w:szCs w:val="24"/>
        </w:rPr>
        <w:t>n indicator variable</w:t>
      </w:r>
      <w:r w:rsidR="001171DC">
        <w:rPr>
          <w:rFonts w:ascii="Times New Roman" w:hAnsi="Times New Roman" w:cs="Times New Roman"/>
          <w:sz w:val="24"/>
          <w:szCs w:val="24"/>
        </w:rPr>
        <w:t xml:space="preserve"> </w:t>
      </w:r>
      <w:r w:rsidR="001753B6">
        <w:rPr>
          <w:rFonts w:ascii="Times New Roman" w:hAnsi="Times New Roman" w:cs="Times New Roman"/>
          <w:sz w:val="24"/>
          <w:szCs w:val="24"/>
        </w:rPr>
        <w:t>POST</w:t>
      </w:r>
      <w:r w:rsidR="001171DC">
        <w:rPr>
          <w:rFonts w:ascii="Times New Roman" w:hAnsi="Times New Roman" w:cs="Times New Roman"/>
          <w:sz w:val="24"/>
          <w:szCs w:val="24"/>
        </w:rPr>
        <w:t xml:space="preserve"> that equals 1 </w:t>
      </w:r>
      <w:r w:rsidR="001753B6">
        <w:rPr>
          <w:rFonts w:ascii="Times New Roman" w:hAnsi="Times New Roman" w:cs="Times New Roman"/>
          <w:sz w:val="24"/>
          <w:szCs w:val="24"/>
        </w:rPr>
        <w:t>if the firm has switched to IFRS, 0 otherwise</w:t>
      </w:r>
      <w:r w:rsidR="0064665B">
        <w:rPr>
          <w:rFonts w:ascii="Times New Roman" w:hAnsi="Times New Roman" w:cs="Times New Roman"/>
          <w:sz w:val="24"/>
          <w:szCs w:val="24"/>
        </w:rPr>
        <w:t>:</w:t>
      </w:r>
      <w:r w:rsidR="001753B6">
        <w:rPr>
          <w:rFonts w:ascii="Times New Roman" w:hAnsi="Times New Roman" w:cs="Times New Roman"/>
          <w:sz w:val="24"/>
          <w:szCs w:val="24"/>
        </w:rPr>
        <w:t xml:space="preserve"> </w:t>
      </w:r>
    </w:p>
    <w:p w14:paraId="340A23B9" w14:textId="7C4E5086" w:rsidR="001753B6" w:rsidRDefault="004815F7" w:rsidP="00404221">
      <w:pPr>
        <w:spacing w:after="0"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ab/>
      </w:r>
      <w:r w:rsidR="008A47BB" w:rsidRPr="00C11785">
        <w:rPr>
          <w:rFonts w:ascii="Times New Roman" w:hAnsi="Times New Roman" w:cs="Times New Roman"/>
          <w:sz w:val="24"/>
          <w:szCs w:val="24"/>
        </w:rPr>
        <w:t>R&amp;D</w:t>
      </w:r>
      <w:r w:rsidR="008A47BB">
        <w:rPr>
          <w:rFonts w:ascii="Times New Roman" w:hAnsi="Times New Roman" w:cs="Times New Roman"/>
          <w:sz w:val="24"/>
          <w:szCs w:val="24"/>
        </w:rPr>
        <w:t xml:space="preserve"> Growth = </w:t>
      </w:r>
      <w:r w:rsidR="005C4678">
        <w:rPr>
          <w:rFonts w:ascii="Symbol" w:hAnsi="Symbol" w:cs="Times New Roman"/>
          <w:sz w:val="24"/>
          <w:szCs w:val="24"/>
        </w:rPr>
        <w:t></w:t>
      </w:r>
      <w:r w:rsidR="008A47BB" w:rsidRPr="00DF2E72">
        <w:rPr>
          <w:rFonts w:ascii="Times New Roman" w:hAnsi="Times New Roman" w:cs="Times New Roman"/>
          <w:sz w:val="24"/>
          <w:szCs w:val="24"/>
          <w:vertAlign w:val="subscript"/>
        </w:rPr>
        <w:t xml:space="preserve">0 </w:t>
      </w:r>
      <w:r w:rsidR="008A47BB">
        <w:rPr>
          <w:rFonts w:ascii="Times New Roman" w:hAnsi="Times New Roman" w:cs="Times New Roman"/>
          <w:sz w:val="24"/>
          <w:szCs w:val="24"/>
        </w:rPr>
        <w:t xml:space="preserve">+ </w:t>
      </w:r>
      <w:r w:rsidR="008A47BB">
        <w:rPr>
          <w:rFonts w:ascii="Symbol" w:hAnsi="Symbol" w:cs="Times New Roman"/>
          <w:sz w:val="24"/>
          <w:szCs w:val="24"/>
        </w:rPr>
        <w:t></w:t>
      </w:r>
      <w:r w:rsidR="001753B6" w:rsidRPr="00B64B59">
        <w:rPr>
          <w:rFonts w:ascii="Times New Roman" w:hAnsi="Times New Roman" w:cs="Times New Roman"/>
          <w:sz w:val="24"/>
          <w:szCs w:val="24"/>
          <w:vertAlign w:val="subscript"/>
        </w:rPr>
        <w:t>1</w:t>
      </w:r>
      <w:r w:rsidR="001753B6">
        <w:rPr>
          <w:rFonts w:ascii="Times New Roman" w:hAnsi="Times New Roman" w:cs="Times New Roman"/>
          <w:sz w:val="24"/>
          <w:szCs w:val="24"/>
        </w:rPr>
        <w:t>POST</w:t>
      </w:r>
      <w:r w:rsidR="008A47BB" w:rsidRPr="0012154E">
        <w:rPr>
          <w:rFonts w:ascii="Times New Roman" w:hAnsi="Times New Roman" w:cs="Times New Roman"/>
          <w:sz w:val="24"/>
          <w:szCs w:val="24"/>
          <w:vertAlign w:val="subscript"/>
        </w:rPr>
        <w:t xml:space="preserve"> </w:t>
      </w:r>
      <w:r w:rsidR="008A47BB">
        <w:rPr>
          <w:rFonts w:ascii="Times New Roman" w:hAnsi="Times New Roman" w:cs="Times New Roman"/>
          <w:sz w:val="24"/>
          <w:szCs w:val="24"/>
        </w:rPr>
        <w:t>+ ∑</w:t>
      </w:r>
      <w:r w:rsidR="008A47BB" w:rsidRPr="0012154E">
        <w:rPr>
          <w:rFonts w:ascii="Times New Roman" w:hAnsi="Times New Roman" w:cs="Times New Roman"/>
          <w:sz w:val="24"/>
          <w:szCs w:val="24"/>
          <w:vertAlign w:val="subscript"/>
        </w:rPr>
        <w:t>i</w:t>
      </w:r>
      <w:r w:rsidR="008A47BB">
        <w:rPr>
          <w:rFonts w:ascii="Symbol" w:hAnsi="Symbol" w:cs="Times New Roman"/>
          <w:sz w:val="24"/>
          <w:szCs w:val="24"/>
        </w:rPr>
        <w:sym w:font="Symbol" w:char="F046"/>
      </w:r>
      <w:r w:rsidR="008A47BB">
        <w:rPr>
          <w:rFonts w:ascii="Times New Roman" w:hAnsi="Times New Roman" w:cs="Times New Roman"/>
          <w:sz w:val="24"/>
          <w:szCs w:val="24"/>
          <w:vertAlign w:val="subscript"/>
        </w:rPr>
        <w:t>i</w:t>
      </w:r>
      <w:r w:rsidR="008A47BB">
        <w:rPr>
          <w:rFonts w:ascii="Times New Roman" w:hAnsi="Times New Roman" w:cs="Times New Roman"/>
          <w:sz w:val="24"/>
          <w:szCs w:val="24"/>
        </w:rPr>
        <w:t>Control</w:t>
      </w:r>
      <w:r w:rsidR="008A47BB" w:rsidRPr="0012154E">
        <w:rPr>
          <w:rFonts w:ascii="Times New Roman" w:hAnsi="Times New Roman" w:cs="Times New Roman"/>
          <w:sz w:val="24"/>
          <w:szCs w:val="24"/>
          <w:vertAlign w:val="subscript"/>
        </w:rPr>
        <w:t xml:space="preserve">i </w:t>
      </w:r>
      <w:r w:rsidR="008A47BB">
        <w:rPr>
          <w:rFonts w:ascii="Times New Roman" w:hAnsi="Times New Roman" w:cs="Times New Roman"/>
          <w:sz w:val="24"/>
          <w:szCs w:val="24"/>
        </w:rPr>
        <w:t xml:space="preserve">+ </w:t>
      </w:r>
      <w:r w:rsidR="001753B6">
        <w:rPr>
          <w:rFonts w:ascii="Times New Roman" w:hAnsi="Times New Roman" w:cs="Times New Roman"/>
          <w:sz w:val="24"/>
          <w:szCs w:val="24"/>
        </w:rPr>
        <w:t xml:space="preserve">firm fixed effects </w:t>
      </w:r>
    </w:p>
    <w:p w14:paraId="6205E7C8" w14:textId="7880B2D7" w:rsidR="000B7560" w:rsidRDefault="001753B6" w:rsidP="001B4344">
      <w:pPr>
        <w:spacing w:after="0" w:line="240" w:lineRule="auto"/>
        <w:ind w:left="1440" w:firstLine="720"/>
        <w:contextualSpacing/>
        <w:rPr>
          <w:rFonts w:ascii="Times New Roman" w:hAnsi="Times New Roman" w:cs="Times New Roman"/>
          <w:sz w:val="24"/>
          <w:szCs w:val="24"/>
        </w:rPr>
      </w:pPr>
      <w:r>
        <w:rPr>
          <w:rFonts w:ascii="Times New Roman" w:hAnsi="Times New Roman" w:cs="Times New Roman"/>
          <w:sz w:val="24"/>
          <w:szCs w:val="24"/>
        </w:rPr>
        <w:t xml:space="preserve"> </w:t>
      </w:r>
      <w:r w:rsidR="0064665B">
        <w:rPr>
          <w:rFonts w:ascii="Times New Roman" w:hAnsi="Times New Roman" w:cs="Times New Roman"/>
          <w:sz w:val="24"/>
          <w:szCs w:val="24"/>
        </w:rPr>
        <w:tab/>
        <w:t xml:space="preserve">+ </w:t>
      </w:r>
      <w:r w:rsidR="008A47BB">
        <w:rPr>
          <w:rFonts w:ascii="Times New Roman" w:hAnsi="Times New Roman" w:cs="Times New Roman"/>
          <w:sz w:val="24"/>
          <w:szCs w:val="24"/>
        </w:rPr>
        <w:t xml:space="preserve">year fixed effects + </w:t>
      </w:r>
      <w:r w:rsidR="008A47BB" w:rsidRPr="00820BAC">
        <w:rPr>
          <w:rFonts w:ascii="Symbol" w:hAnsi="Symbol" w:cs="Times New Roman"/>
          <w:sz w:val="24"/>
          <w:szCs w:val="24"/>
        </w:rPr>
        <w:t></w:t>
      </w:r>
      <w:r w:rsidR="008A47BB">
        <w:rPr>
          <w:rFonts w:ascii="Times New Roman" w:hAnsi="Times New Roman" w:cs="Times New Roman"/>
          <w:sz w:val="24"/>
          <w:szCs w:val="24"/>
        </w:rPr>
        <w:t xml:space="preserve">       </w:t>
      </w:r>
      <w:r w:rsidR="009F032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C4179">
        <w:rPr>
          <w:rFonts w:ascii="Times New Roman" w:hAnsi="Times New Roman" w:cs="Times New Roman"/>
          <w:sz w:val="24"/>
          <w:szCs w:val="24"/>
        </w:rPr>
        <w:t>(</w:t>
      </w:r>
      <w:r w:rsidR="00436AA5">
        <w:rPr>
          <w:rFonts w:ascii="Times New Roman" w:hAnsi="Times New Roman" w:cs="Times New Roman"/>
          <w:sz w:val="24"/>
          <w:szCs w:val="24"/>
        </w:rPr>
        <w:t>3</w:t>
      </w:r>
      <w:r w:rsidR="000B7560">
        <w:rPr>
          <w:rFonts w:ascii="Times New Roman" w:hAnsi="Times New Roman" w:cs="Times New Roman"/>
          <w:sz w:val="24"/>
          <w:szCs w:val="24"/>
        </w:rPr>
        <w:t>)</w:t>
      </w:r>
    </w:p>
    <w:p w14:paraId="30A91E62" w14:textId="77777777" w:rsidR="0064665B" w:rsidRDefault="0064665B" w:rsidP="0064665B">
      <w:pPr>
        <w:spacing w:after="0" w:line="240" w:lineRule="auto"/>
        <w:ind w:firstLine="562"/>
        <w:contextualSpacing/>
        <w:rPr>
          <w:rFonts w:ascii="Times New Roman" w:hAnsi="Times New Roman" w:cs="Times New Roman"/>
          <w:sz w:val="24"/>
          <w:szCs w:val="24"/>
        </w:rPr>
      </w:pPr>
    </w:p>
    <w:p w14:paraId="061EB98B" w14:textId="715DA5A8" w:rsidR="009861A9" w:rsidRDefault="00F67D90" w:rsidP="006B09D3">
      <w:pPr>
        <w:spacing w:after="0" w:line="480" w:lineRule="auto"/>
        <w:ind w:firstLine="562"/>
        <w:contextualSpacing/>
        <w:jc w:val="both"/>
        <w:rPr>
          <w:rFonts w:ascii="Times New Roman" w:hAnsi="Times New Roman" w:cs="Times New Roman"/>
          <w:sz w:val="24"/>
          <w:szCs w:val="24"/>
        </w:rPr>
      </w:pPr>
      <w:r w:rsidRPr="00F67D90">
        <w:rPr>
          <w:rFonts w:ascii="Times New Roman" w:hAnsi="Times New Roman" w:cs="Times New Roman"/>
          <w:sz w:val="24"/>
          <w:szCs w:val="24"/>
        </w:rPr>
        <w:t xml:space="preserve">The results </w:t>
      </w:r>
      <w:r w:rsidR="000B7560">
        <w:rPr>
          <w:rFonts w:ascii="Times New Roman" w:hAnsi="Times New Roman" w:cs="Times New Roman"/>
          <w:sz w:val="24"/>
          <w:szCs w:val="24"/>
        </w:rPr>
        <w:t xml:space="preserve">from estimating equation (3) </w:t>
      </w:r>
      <w:r w:rsidRPr="00F67D90">
        <w:rPr>
          <w:rFonts w:ascii="Times New Roman" w:hAnsi="Times New Roman" w:cs="Times New Roman"/>
          <w:sz w:val="24"/>
          <w:szCs w:val="24"/>
        </w:rPr>
        <w:t xml:space="preserve">are shown in Table </w:t>
      </w:r>
      <w:r w:rsidR="00116D85">
        <w:rPr>
          <w:rFonts w:ascii="Times New Roman" w:hAnsi="Times New Roman" w:cs="Times New Roman"/>
          <w:sz w:val="24"/>
          <w:szCs w:val="24"/>
        </w:rPr>
        <w:t>8</w:t>
      </w:r>
      <w:r w:rsidRPr="00F67D90">
        <w:rPr>
          <w:rFonts w:ascii="Times New Roman" w:hAnsi="Times New Roman" w:cs="Times New Roman"/>
          <w:sz w:val="24"/>
          <w:szCs w:val="24"/>
        </w:rPr>
        <w:t xml:space="preserve">. </w:t>
      </w:r>
      <w:r w:rsidR="000B7560">
        <w:rPr>
          <w:rFonts w:ascii="Times New Roman" w:hAnsi="Times New Roman" w:cs="Times New Roman"/>
          <w:sz w:val="24"/>
          <w:szCs w:val="24"/>
        </w:rPr>
        <w:t>T</w:t>
      </w:r>
      <w:r w:rsidR="009861A9">
        <w:rPr>
          <w:rFonts w:ascii="Times New Roman" w:hAnsi="Times New Roman" w:cs="Times New Roman"/>
          <w:sz w:val="24"/>
          <w:szCs w:val="24"/>
        </w:rPr>
        <w:t xml:space="preserve">he coefficient on </w:t>
      </w:r>
      <w:r w:rsidR="008E0157">
        <w:rPr>
          <w:rFonts w:ascii="Times New Roman" w:hAnsi="Times New Roman" w:cs="Times New Roman"/>
          <w:sz w:val="24"/>
          <w:szCs w:val="24"/>
        </w:rPr>
        <w:t>POST</w:t>
      </w:r>
      <w:r w:rsidR="009861A9">
        <w:rPr>
          <w:rFonts w:ascii="Times New Roman" w:hAnsi="Times New Roman" w:cs="Times New Roman"/>
          <w:sz w:val="24"/>
          <w:szCs w:val="24"/>
        </w:rPr>
        <w:t xml:space="preserve"> is positive and significant for all three R&amp;D metrics, indicating that </w:t>
      </w:r>
      <w:r w:rsidR="000B7560">
        <w:rPr>
          <w:rFonts w:ascii="Times New Roman" w:hAnsi="Times New Roman" w:cs="Times New Roman"/>
          <w:sz w:val="24"/>
          <w:szCs w:val="24"/>
        </w:rPr>
        <w:t>during 2005/2006</w:t>
      </w:r>
      <w:r w:rsidR="009861A9">
        <w:rPr>
          <w:rFonts w:ascii="Times New Roman" w:hAnsi="Times New Roman" w:cs="Times New Roman"/>
          <w:sz w:val="24"/>
          <w:szCs w:val="24"/>
        </w:rPr>
        <w:t xml:space="preserve"> early switchers increased their R&amp;D expenditure growth more than late switchers. </w:t>
      </w:r>
    </w:p>
    <w:p w14:paraId="3A808C32" w14:textId="34DA1023" w:rsidR="007E2A22" w:rsidRDefault="00362ADF" w:rsidP="006B09D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early literature on the effects of capitalization on R&amp;D expenditures emphasized the importance of the expense deferral, especially for higher growth firms. </w:t>
      </w:r>
      <w:r w:rsidR="007E2A22">
        <w:rPr>
          <w:rFonts w:ascii="Times New Roman" w:hAnsi="Times New Roman" w:cs="Times New Roman"/>
          <w:sz w:val="24"/>
          <w:szCs w:val="24"/>
        </w:rPr>
        <w:t xml:space="preserve">Thus, high </w:t>
      </w:r>
      <w:r w:rsidR="00F67D90" w:rsidRPr="00F67D90">
        <w:rPr>
          <w:rFonts w:ascii="Times New Roman" w:hAnsi="Times New Roman" w:cs="Times New Roman"/>
          <w:sz w:val="24"/>
          <w:szCs w:val="24"/>
        </w:rPr>
        <w:t xml:space="preserve">growing </w:t>
      </w:r>
      <w:r w:rsidR="007E2A22">
        <w:rPr>
          <w:rFonts w:ascii="Times New Roman" w:hAnsi="Times New Roman" w:cs="Times New Roman"/>
          <w:sz w:val="24"/>
          <w:szCs w:val="24"/>
        </w:rPr>
        <w:t xml:space="preserve">switchers </w:t>
      </w:r>
      <w:r w:rsidR="00F67D90" w:rsidRPr="00F67D90">
        <w:rPr>
          <w:rFonts w:ascii="Times New Roman" w:hAnsi="Times New Roman" w:cs="Times New Roman"/>
          <w:sz w:val="24"/>
          <w:szCs w:val="24"/>
        </w:rPr>
        <w:t xml:space="preserve">would be expected to </w:t>
      </w:r>
      <w:r w:rsidR="007E2A22">
        <w:rPr>
          <w:rFonts w:ascii="Times New Roman" w:hAnsi="Times New Roman" w:cs="Times New Roman"/>
          <w:sz w:val="24"/>
          <w:szCs w:val="24"/>
        </w:rPr>
        <w:t xml:space="preserve">increase their R&amp;D expenditures more than low growing switchers. </w:t>
      </w:r>
      <w:r w:rsidR="001C7AA4">
        <w:rPr>
          <w:rFonts w:ascii="Times New Roman" w:hAnsi="Times New Roman" w:cs="Times New Roman"/>
          <w:sz w:val="24"/>
          <w:szCs w:val="24"/>
        </w:rPr>
        <w:t xml:space="preserve">For our third robustness test, </w:t>
      </w:r>
      <w:r w:rsidR="00F67D90" w:rsidRPr="00F67D90">
        <w:rPr>
          <w:rFonts w:ascii="Times New Roman" w:hAnsi="Times New Roman" w:cs="Times New Roman"/>
          <w:sz w:val="24"/>
          <w:szCs w:val="24"/>
        </w:rPr>
        <w:t xml:space="preserve">we </w:t>
      </w:r>
      <w:r w:rsidR="0064665B">
        <w:rPr>
          <w:rFonts w:ascii="Times New Roman" w:hAnsi="Times New Roman" w:cs="Times New Roman"/>
          <w:sz w:val="24"/>
          <w:szCs w:val="24"/>
        </w:rPr>
        <w:t>estimate the following model on switchers only,</w:t>
      </w:r>
      <w:r w:rsidR="00A372E3">
        <w:rPr>
          <w:rFonts w:ascii="Times New Roman" w:hAnsi="Times New Roman" w:cs="Times New Roman"/>
          <w:sz w:val="24"/>
          <w:szCs w:val="24"/>
        </w:rPr>
        <w:t xml:space="preserve"> with an indicator variable HIGH that equals 1 (0) for switcher firms that had above (below) the median M/B ratio </w:t>
      </w:r>
      <w:r w:rsidR="005B1056">
        <w:rPr>
          <w:rFonts w:ascii="Times New Roman" w:hAnsi="Times New Roman" w:cs="Times New Roman"/>
          <w:sz w:val="24"/>
          <w:szCs w:val="24"/>
        </w:rPr>
        <w:t xml:space="preserve">in the last year of UK GAAP </w:t>
      </w:r>
      <w:r w:rsidR="00A372E3">
        <w:rPr>
          <w:rFonts w:ascii="Times New Roman" w:hAnsi="Times New Roman" w:cs="Times New Roman"/>
          <w:sz w:val="24"/>
          <w:szCs w:val="24"/>
        </w:rPr>
        <w:t xml:space="preserve">(we define growth by M/B because to define it by R&amp;D expenditures would be tautological): </w:t>
      </w:r>
    </w:p>
    <w:p w14:paraId="36A13BCD" w14:textId="77777777" w:rsidR="0064665B" w:rsidRDefault="004815F7" w:rsidP="0064665B">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B17C54" w:rsidRPr="00C11785">
        <w:rPr>
          <w:rFonts w:ascii="Times New Roman" w:hAnsi="Times New Roman" w:cs="Times New Roman"/>
          <w:sz w:val="24"/>
          <w:szCs w:val="24"/>
        </w:rPr>
        <w:t>R&amp;D</w:t>
      </w:r>
      <w:r w:rsidR="00B17C54">
        <w:rPr>
          <w:rFonts w:ascii="Times New Roman" w:hAnsi="Times New Roman" w:cs="Times New Roman"/>
          <w:sz w:val="24"/>
          <w:szCs w:val="24"/>
        </w:rPr>
        <w:t xml:space="preserve"> Growth = </w:t>
      </w:r>
      <w:r w:rsidR="005C4678">
        <w:rPr>
          <w:rFonts w:ascii="Symbol" w:hAnsi="Symbol" w:cs="Times New Roman"/>
          <w:sz w:val="24"/>
          <w:szCs w:val="24"/>
        </w:rPr>
        <w:t></w:t>
      </w:r>
      <w:r w:rsidR="00B17C54" w:rsidRPr="00DF2E72">
        <w:rPr>
          <w:rFonts w:ascii="Times New Roman" w:hAnsi="Times New Roman" w:cs="Times New Roman"/>
          <w:sz w:val="24"/>
          <w:szCs w:val="24"/>
          <w:vertAlign w:val="subscript"/>
        </w:rPr>
        <w:t xml:space="preserve">0 </w:t>
      </w:r>
      <w:r w:rsidR="00B17C54">
        <w:rPr>
          <w:rFonts w:ascii="Times New Roman" w:hAnsi="Times New Roman" w:cs="Times New Roman"/>
          <w:sz w:val="24"/>
          <w:szCs w:val="24"/>
        </w:rPr>
        <w:t>+ ∑</w:t>
      </w:r>
      <w:r w:rsidR="00B17C54" w:rsidRPr="0012154E">
        <w:rPr>
          <w:rFonts w:ascii="Times New Roman" w:hAnsi="Times New Roman" w:cs="Times New Roman"/>
          <w:sz w:val="24"/>
          <w:szCs w:val="24"/>
          <w:vertAlign w:val="subscript"/>
        </w:rPr>
        <w:t xml:space="preserve">t </w:t>
      </w:r>
      <w:r w:rsidR="00B17C54">
        <w:rPr>
          <w:rFonts w:ascii="Symbol" w:hAnsi="Symbol" w:cs="Times New Roman"/>
          <w:sz w:val="24"/>
          <w:szCs w:val="24"/>
        </w:rPr>
        <w:t></w:t>
      </w:r>
      <w:r w:rsidR="00B17C54" w:rsidRPr="0012154E">
        <w:rPr>
          <w:rFonts w:ascii="Times New Roman" w:hAnsi="Times New Roman" w:cs="Times New Roman"/>
          <w:sz w:val="24"/>
          <w:szCs w:val="24"/>
          <w:vertAlign w:val="subscript"/>
        </w:rPr>
        <w:t>t</w:t>
      </w:r>
      <w:r w:rsidR="00B17C54">
        <w:rPr>
          <w:rFonts w:ascii="Times New Roman" w:hAnsi="Times New Roman" w:cs="Times New Roman"/>
          <w:sz w:val="24"/>
          <w:szCs w:val="24"/>
        </w:rPr>
        <w:t>HIGH*IFRS</w:t>
      </w:r>
      <w:r w:rsidR="00B17C54" w:rsidRPr="0012154E">
        <w:rPr>
          <w:rFonts w:ascii="Times New Roman" w:hAnsi="Times New Roman" w:cs="Times New Roman"/>
          <w:sz w:val="24"/>
          <w:szCs w:val="24"/>
          <w:vertAlign w:val="subscript"/>
        </w:rPr>
        <w:t xml:space="preserve">t </w:t>
      </w:r>
      <w:r w:rsidR="00B17C54">
        <w:rPr>
          <w:rFonts w:ascii="Times New Roman" w:hAnsi="Times New Roman" w:cs="Times New Roman"/>
          <w:sz w:val="24"/>
          <w:szCs w:val="24"/>
        </w:rPr>
        <w:t>+ ∑</w:t>
      </w:r>
      <w:r w:rsidR="00B17C54" w:rsidRPr="0012154E">
        <w:rPr>
          <w:rFonts w:ascii="Times New Roman" w:hAnsi="Times New Roman" w:cs="Times New Roman"/>
          <w:sz w:val="24"/>
          <w:szCs w:val="24"/>
          <w:vertAlign w:val="subscript"/>
        </w:rPr>
        <w:t>i</w:t>
      </w:r>
      <w:r w:rsidR="00B17C54">
        <w:rPr>
          <w:rFonts w:ascii="Symbol" w:hAnsi="Symbol" w:cs="Times New Roman"/>
          <w:sz w:val="24"/>
          <w:szCs w:val="24"/>
        </w:rPr>
        <w:sym w:font="Symbol" w:char="F046"/>
      </w:r>
      <w:r w:rsidR="00B17C54">
        <w:rPr>
          <w:rFonts w:ascii="Times New Roman" w:hAnsi="Times New Roman" w:cs="Times New Roman"/>
          <w:sz w:val="24"/>
          <w:szCs w:val="24"/>
          <w:vertAlign w:val="subscript"/>
        </w:rPr>
        <w:t>i</w:t>
      </w:r>
      <w:r w:rsidR="00B17C54">
        <w:rPr>
          <w:rFonts w:ascii="Times New Roman" w:hAnsi="Times New Roman" w:cs="Times New Roman"/>
          <w:sz w:val="24"/>
          <w:szCs w:val="24"/>
        </w:rPr>
        <w:t>Control</w:t>
      </w:r>
      <w:r w:rsidR="00B17C54" w:rsidRPr="0012154E">
        <w:rPr>
          <w:rFonts w:ascii="Times New Roman" w:hAnsi="Times New Roman" w:cs="Times New Roman"/>
          <w:sz w:val="24"/>
          <w:szCs w:val="24"/>
          <w:vertAlign w:val="subscript"/>
        </w:rPr>
        <w:t xml:space="preserve">i </w:t>
      </w:r>
      <w:r w:rsidR="00B17C54">
        <w:rPr>
          <w:rFonts w:ascii="Times New Roman" w:hAnsi="Times New Roman" w:cs="Times New Roman"/>
          <w:sz w:val="24"/>
          <w:szCs w:val="24"/>
        </w:rPr>
        <w:t xml:space="preserve">+ firm fixed effects </w:t>
      </w:r>
    </w:p>
    <w:p w14:paraId="21A0795B" w14:textId="1F1DC484" w:rsidR="00B17C54" w:rsidRDefault="0064665B" w:rsidP="0064665B">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17C54">
        <w:rPr>
          <w:rFonts w:ascii="Times New Roman" w:hAnsi="Times New Roman" w:cs="Times New Roman"/>
          <w:sz w:val="24"/>
          <w:szCs w:val="24"/>
        </w:rPr>
        <w:t xml:space="preserve">+ year fixed effects + </w:t>
      </w:r>
      <w:r w:rsidR="00B17C54" w:rsidRPr="00820BAC">
        <w:rPr>
          <w:rFonts w:ascii="Symbol" w:hAnsi="Symbol" w:cs="Times New Roman"/>
          <w:sz w:val="24"/>
          <w:szCs w:val="24"/>
        </w:rPr>
        <w:t></w:t>
      </w:r>
      <w:r w:rsidR="00B17C54">
        <w:rPr>
          <w:rFonts w:ascii="Times New Roman" w:hAnsi="Times New Roman" w:cs="Times New Roman"/>
          <w:sz w:val="24"/>
          <w:szCs w:val="24"/>
        </w:rPr>
        <w:t xml:space="preserve">       </w:t>
      </w:r>
      <w:r w:rsidR="00B17C54">
        <w:rPr>
          <w:rFonts w:ascii="Times New Roman" w:hAnsi="Times New Roman" w:cs="Times New Roman"/>
          <w:sz w:val="24"/>
          <w:szCs w:val="24"/>
        </w:rPr>
        <w:tab/>
      </w:r>
      <w:r w:rsidR="00B17C54">
        <w:rPr>
          <w:rFonts w:ascii="Times New Roman" w:hAnsi="Times New Roman" w:cs="Times New Roman"/>
          <w:sz w:val="24"/>
          <w:szCs w:val="24"/>
        </w:rPr>
        <w:tab/>
      </w:r>
      <w:r w:rsidR="004815F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17C54">
        <w:rPr>
          <w:rFonts w:ascii="Times New Roman" w:hAnsi="Times New Roman" w:cs="Times New Roman"/>
          <w:sz w:val="24"/>
          <w:szCs w:val="24"/>
        </w:rPr>
        <w:t>(4)</w:t>
      </w:r>
    </w:p>
    <w:p w14:paraId="617686DA" w14:textId="77777777" w:rsidR="007A5536" w:rsidRDefault="007A5536" w:rsidP="00985B47">
      <w:pPr>
        <w:spacing w:after="0" w:line="240" w:lineRule="auto"/>
        <w:ind w:firstLine="720"/>
        <w:rPr>
          <w:rFonts w:ascii="Times New Roman" w:hAnsi="Times New Roman" w:cs="Times New Roman"/>
          <w:sz w:val="24"/>
          <w:szCs w:val="24"/>
        </w:rPr>
      </w:pPr>
    </w:p>
    <w:p w14:paraId="4E048325" w14:textId="3B617B95" w:rsidR="00D60FEE" w:rsidRDefault="00A372E3" w:rsidP="006B09D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020B45">
        <w:rPr>
          <w:rFonts w:ascii="Times New Roman" w:hAnsi="Times New Roman" w:cs="Times New Roman"/>
          <w:sz w:val="24"/>
          <w:szCs w:val="24"/>
        </w:rPr>
        <w:t xml:space="preserve">If capitalization works through </w:t>
      </w:r>
      <w:r w:rsidR="00FF0698">
        <w:rPr>
          <w:rFonts w:ascii="Times New Roman" w:hAnsi="Times New Roman" w:cs="Times New Roman"/>
          <w:sz w:val="24"/>
          <w:szCs w:val="24"/>
        </w:rPr>
        <w:t>R&amp;D expenditure growth, w</w:t>
      </w:r>
      <w:r w:rsidR="007E2A22" w:rsidRPr="00FF0698">
        <w:rPr>
          <w:rFonts w:ascii="Times New Roman" w:hAnsi="Times New Roman" w:cs="Times New Roman"/>
          <w:sz w:val="24"/>
          <w:szCs w:val="24"/>
        </w:rPr>
        <w:t xml:space="preserve">e expect </w:t>
      </w:r>
      <w:r w:rsidR="008D4294">
        <w:rPr>
          <w:rFonts w:ascii="Times New Roman" w:hAnsi="Times New Roman" w:cs="Times New Roman"/>
          <w:sz w:val="24"/>
          <w:szCs w:val="24"/>
        </w:rPr>
        <w:t xml:space="preserve">the coefficient on </w:t>
      </w:r>
      <w:r w:rsidR="007E2A22" w:rsidRPr="00FF0698">
        <w:rPr>
          <w:rFonts w:ascii="Times New Roman" w:hAnsi="Times New Roman" w:cs="Times New Roman"/>
          <w:sz w:val="24"/>
          <w:szCs w:val="24"/>
        </w:rPr>
        <w:t>HIGH*</w:t>
      </w:r>
      <w:r w:rsidR="00B17C54">
        <w:rPr>
          <w:rFonts w:ascii="Times New Roman" w:hAnsi="Times New Roman" w:cs="Times New Roman"/>
          <w:sz w:val="24"/>
          <w:szCs w:val="24"/>
        </w:rPr>
        <w:t>IFRS</w:t>
      </w:r>
      <w:r w:rsidR="00FF0698">
        <w:rPr>
          <w:rFonts w:ascii="Times New Roman" w:hAnsi="Times New Roman" w:cs="Times New Roman"/>
          <w:sz w:val="24"/>
          <w:szCs w:val="24"/>
        </w:rPr>
        <w:t xml:space="preserve"> </w:t>
      </w:r>
      <w:r w:rsidR="00377545">
        <w:rPr>
          <w:rFonts w:ascii="Times New Roman" w:hAnsi="Times New Roman" w:cs="Times New Roman"/>
          <w:sz w:val="24"/>
          <w:szCs w:val="24"/>
        </w:rPr>
        <w:t xml:space="preserve">year </w:t>
      </w:r>
      <w:r w:rsidR="00FF0698">
        <w:rPr>
          <w:rFonts w:ascii="Times New Roman" w:hAnsi="Times New Roman" w:cs="Times New Roman"/>
          <w:sz w:val="24"/>
          <w:szCs w:val="24"/>
        </w:rPr>
        <w:t>to be significantly positive</w:t>
      </w:r>
      <w:r w:rsidR="00B17C54">
        <w:rPr>
          <w:rFonts w:ascii="Times New Roman" w:hAnsi="Times New Roman" w:cs="Times New Roman"/>
          <w:sz w:val="24"/>
          <w:szCs w:val="24"/>
        </w:rPr>
        <w:t xml:space="preserve"> in the switch year</w:t>
      </w:r>
      <w:r w:rsidR="00FF0698">
        <w:rPr>
          <w:rFonts w:ascii="Times New Roman" w:hAnsi="Times New Roman" w:cs="Times New Roman"/>
          <w:sz w:val="24"/>
          <w:szCs w:val="24"/>
        </w:rPr>
        <w:t xml:space="preserve">, indicating that high growth switchers increased their R&amp;D expenditures more than low growth switchers. The results are shown in Table </w:t>
      </w:r>
      <w:r w:rsidR="00116D85">
        <w:rPr>
          <w:rFonts w:ascii="Times New Roman" w:hAnsi="Times New Roman" w:cs="Times New Roman"/>
          <w:sz w:val="24"/>
          <w:szCs w:val="24"/>
        </w:rPr>
        <w:t>9</w:t>
      </w:r>
      <w:r w:rsidR="00FF0698">
        <w:rPr>
          <w:rFonts w:ascii="Times New Roman" w:hAnsi="Times New Roman" w:cs="Times New Roman"/>
          <w:sz w:val="24"/>
          <w:szCs w:val="24"/>
        </w:rPr>
        <w:t xml:space="preserve">. </w:t>
      </w:r>
      <w:r w:rsidR="00A77E95">
        <w:rPr>
          <w:rFonts w:ascii="Times New Roman" w:hAnsi="Times New Roman" w:cs="Times New Roman"/>
          <w:sz w:val="24"/>
          <w:szCs w:val="24"/>
        </w:rPr>
        <w:t>A</w:t>
      </w:r>
      <w:r w:rsidR="00A65967">
        <w:rPr>
          <w:rFonts w:ascii="Times New Roman" w:hAnsi="Times New Roman" w:cs="Times New Roman"/>
          <w:sz w:val="24"/>
          <w:szCs w:val="24"/>
        </w:rPr>
        <w:t>ll t</w:t>
      </w:r>
      <w:r w:rsidR="00FF0698">
        <w:rPr>
          <w:rFonts w:ascii="Times New Roman" w:hAnsi="Times New Roman" w:cs="Times New Roman"/>
          <w:sz w:val="24"/>
          <w:szCs w:val="24"/>
        </w:rPr>
        <w:t xml:space="preserve">hree coefficients on </w:t>
      </w:r>
      <w:r w:rsidR="006E6CA2">
        <w:rPr>
          <w:rFonts w:ascii="Times New Roman" w:hAnsi="Times New Roman" w:cs="Times New Roman"/>
          <w:sz w:val="24"/>
          <w:szCs w:val="24"/>
        </w:rPr>
        <w:t>HIGH</w:t>
      </w:r>
      <w:r w:rsidR="00FF0698">
        <w:rPr>
          <w:rFonts w:ascii="Times New Roman" w:hAnsi="Times New Roman" w:cs="Times New Roman"/>
          <w:sz w:val="24"/>
          <w:szCs w:val="24"/>
        </w:rPr>
        <w:t>*</w:t>
      </w:r>
      <w:r w:rsidR="00452B62">
        <w:rPr>
          <w:rFonts w:ascii="Times New Roman" w:hAnsi="Times New Roman" w:cs="Times New Roman"/>
          <w:sz w:val="24"/>
          <w:szCs w:val="24"/>
        </w:rPr>
        <w:t>IFRS</w:t>
      </w:r>
      <w:r w:rsidR="00FF0698">
        <w:rPr>
          <w:rFonts w:ascii="Times New Roman" w:hAnsi="Times New Roman" w:cs="Times New Roman"/>
          <w:sz w:val="24"/>
          <w:szCs w:val="24"/>
        </w:rPr>
        <w:t xml:space="preserve"> </w:t>
      </w:r>
      <w:r w:rsidR="00FE15DE">
        <w:rPr>
          <w:rFonts w:ascii="Times New Roman" w:hAnsi="Times New Roman" w:cs="Times New Roman"/>
          <w:sz w:val="24"/>
          <w:szCs w:val="24"/>
        </w:rPr>
        <w:t xml:space="preserve">year </w:t>
      </w:r>
      <w:r w:rsidR="00FF0698">
        <w:rPr>
          <w:rFonts w:ascii="Times New Roman" w:hAnsi="Times New Roman" w:cs="Times New Roman"/>
          <w:sz w:val="24"/>
          <w:szCs w:val="24"/>
        </w:rPr>
        <w:t>are significantly positive</w:t>
      </w:r>
      <w:r w:rsidR="00A77E95">
        <w:rPr>
          <w:rFonts w:ascii="Times New Roman" w:hAnsi="Times New Roman" w:cs="Times New Roman"/>
          <w:sz w:val="24"/>
          <w:szCs w:val="24"/>
        </w:rPr>
        <w:t>, indicating that high growth switchers increased their R&amp;D expenditure growth more than low growth switchers.</w:t>
      </w:r>
      <w:r w:rsidR="00BB1608">
        <w:rPr>
          <w:rFonts w:ascii="Times New Roman" w:hAnsi="Times New Roman" w:cs="Times New Roman"/>
          <w:sz w:val="24"/>
          <w:szCs w:val="24"/>
        </w:rPr>
        <w:t xml:space="preserve"> </w:t>
      </w:r>
    </w:p>
    <w:p w14:paraId="45D98CA0" w14:textId="3F87793F" w:rsidR="009B1F7E" w:rsidRDefault="00D60FEE" w:rsidP="006B09D3">
      <w:pPr>
        <w:tabs>
          <w:tab w:val="left" w:pos="567"/>
        </w:tabs>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440656">
        <w:rPr>
          <w:rFonts w:ascii="Times New Roman" w:hAnsi="Times New Roman" w:cs="Times New Roman"/>
          <w:sz w:val="24"/>
          <w:szCs w:val="24"/>
        </w:rPr>
        <w:t xml:space="preserve"> </w:t>
      </w:r>
      <w:r w:rsidR="004B3DD5">
        <w:rPr>
          <w:rFonts w:ascii="Times New Roman" w:hAnsi="Times New Roman" w:cs="Times New Roman"/>
          <w:sz w:val="24"/>
          <w:szCs w:val="24"/>
        </w:rPr>
        <w:t xml:space="preserve">Firms may have some discretion in what they classify as R&amp;D expenditures. In particular, switching firms, in order to take advantage of the expense deferral to increase income, may have classified SG&amp;A expenditures (which must be expensed), as R&amp;D. In this case, the increase in R&amp;D expenditures would be due to reclassification, not a real increase in investment. To examine this possibility, </w:t>
      </w:r>
      <w:r w:rsidR="00436AA5">
        <w:rPr>
          <w:rFonts w:ascii="Times New Roman" w:hAnsi="Times New Roman" w:cs="Times New Roman"/>
          <w:sz w:val="24"/>
          <w:szCs w:val="24"/>
        </w:rPr>
        <w:t>we estimate</w:t>
      </w:r>
      <w:r w:rsidR="006E19C0">
        <w:rPr>
          <w:rFonts w:ascii="Times New Roman" w:hAnsi="Times New Roman" w:cs="Times New Roman"/>
          <w:sz w:val="24"/>
          <w:szCs w:val="24"/>
        </w:rPr>
        <w:t>d equation</w:t>
      </w:r>
      <w:r w:rsidR="00436AA5">
        <w:rPr>
          <w:rFonts w:ascii="Times New Roman" w:hAnsi="Times New Roman" w:cs="Times New Roman"/>
          <w:sz w:val="24"/>
          <w:szCs w:val="24"/>
        </w:rPr>
        <w:t xml:space="preserve"> (1) with </w:t>
      </w:r>
      <w:r w:rsidR="009B1F7E">
        <w:rPr>
          <w:rFonts w:ascii="Times New Roman" w:hAnsi="Times New Roman" w:cs="Times New Roman"/>
          <w:sz w:val="24"/>
          <w:szCs w:val="24"/>
        </w:rPr>
        <w:t>SG&amp;A expenditures as the dependent variable.</w:t>
      </w:r>
      <w:r w:rsidR="00436AA5">
        <w:rPr>
          <w:rFonts w:ascii="Times New Roman" w:hAnsi="Times New Roman" w:cs="Times New Roman"/>
          <w:sz w:val="24"/>
          <w:szCs w:val="24"/>
        </w:rPr>
        <w:t xml:space="preserve"> If reclassification of SG&amp;A as R&amp;D is responsible for the R&amp;D expenditure increase that we have documented, then the coefficient on SWITCH*</w:t>
      </w:r>
      <w:r w:rsidR="002631BA">
        <w:rPr>
          <w:rFonts w:ascii="Times New Roman" w:hAnsi="Times New Roman" w:cs="Times New Roman"/>
          <w:sz w:val="24"/>
          <w:szCs w:val="24"/>
        </w:rPr>
        <w:t>IFRS</w:t>
      </w:r>
      <w:r w:rsidR="00F76C50">
        <w:rPr>
          <w:rFonts w:ascii="Times New Roman" w:hAnsi="Times New Roman" w:cs="Times New Roman"/>
          <w:sz w:val="24"/>
          <w:szCs w:val="24"/>
        </w:rPr>
        <w:t xml:space="preserve"> </w:t>
      </w:r>
      <w:r w:rsidR="00087728">
        <w:rPr>
          <w:rFonts w:ascii="Times New Roman" w:hAnsi="Times New Roman" w:cs="Times New Roman"/>
          <w:sz w:val="24"/>
          <w:szCs w:val="24"/>
        </w:rPr>
        <w:t>year</w:t>
      </w:r>
      <w:r w:rsidR="00436AA5">
        <w:rPr>
          <w:rFonts w:ascii="Times New Roman" w:hAnsi="Times New Roman" w:cs="Times New Roman"/>
          <w:sz w:val="24"/>
          <w:szCs w:val="24"/>
        </w:rPr>
        <w:t xml:space="preserve"> should be negative, as switchers’ SG&amp;A expenditures should decline relative to capitalizers’.</w:t>
      </w:r>
      <w:r w:rsidR="00C2031D">
        <w:rPr>
          <w:rFonts w:ascii="Times New Roman" w:hAnsi="Times New Roman" w:cs="Times New Roman"/>
          <w:sz w:val="24"/>
          <w:szCs w:val="24"/>
        </w:rPr>
        <w:t xml:space="preserve"> The results</w:t>
      </w:r>
      <w:r w:rsidR="00436AA5">
        <w:rPr>
          <w:rFonts w:ascii="Times New Roman" w:hAnsi="Times New Roman" w:cs="Times New Roman"/>
          <w:sz w:val="24"/>
          <w:szCs w:val="24"/>
        </w:rPr>
        <w:t xml:space="preserve"> are shown in Table </w:t>
      </w:r>
      <w:r w:rsidR="00706A69">
        <w:rPr>
          <w:rFonts w:ascii="Times New Roman" w:hAnsi="Times New Roman" w:cs="Times New Roman"/>
          <w:sz w:val="24"/>
          <w:szCs w:val="24"/>
        </w:rPr>
        <w:t>10</w:t>
      </w:r>
      <w:r w:rsidR="00C2031D">
        <w:rPr>
          <w:rFonts w:ascii="Times New Roman" w:hAnsi="Times New Roman" w:cs="Times New Roman"/>
          <w:sz w:val="24"/>
          <w:szCs w:val="24"/>
        </w:rPr>
        <w:t>. None of the coefficients on SWITCH*</w:t>
      </w:r>
      <w:r w:rsidR="006E19C0">
        <w:rPr>
          <w:rFonts w:ascii="Times New Roman" w:hAnsi="Times New Roman" w:cs="Times New Roman"/>
          <w:sz w:val="24"/>
          <w:szCs w:val="24"/>
        </w:rPr>
        <w:t xml:space="preserve">IFRS year </w:t>
      </w:r>
      <w:r w:rsidR="00D40EBF">
        <w:rPr>
          <w:rFonts w:ascii="Times New Roman" w:hAnsi="Times New Roman" w:cs="Times New Roman"/>
          <w:sz w:val="24"/>
          <w:szCs w:val="24"/>
        </w:rPr>
        <w:t xml:space="preserve">are </w:t>
      </w:r>
      <w:r w:rsidR="00C2031D">
        <w:rPr>
          <w:rFonts w:ascii="Times New Roman" w:hAnsi="Times New Roman" w:cs="Times New Roman"/>
          <w:sz w:val="24"/>
          <w:szCs w:val="24"/>
        </w:rPr>
        <w:t xml:space="preserve">significant, indicating that reclassification of SG&amp;A expenditures as R&amp;D is not </w:t>
      </w:r>
      <w:r w:rsidR="00674CB0">
        <w:rPr>
          <w:rFonts w:ascii="Times New Roman" w:hAnsi="Times New Roman" w:cs="Times New Roman"/>
          <w:sz w:val="24"/>
          <w:szCs w:val="24"/>
        </w:rPr>
        <w:t xml:space="preserve">likely to be </w:t>
      </w:r>
      <w:r w:rsidR="00C2031D">
        <w:rPr>
          <w:rFonts w:ascii="Times New Roman" w:hAnsi="Times New Roman" w:cs="Times New Roman"/>
          <w:sz w:val="24"/>
          <w:szCs w:val="24"/>
        </w:rPr>
        <w:t>driving our main results</w:t>
      </w:r>
      <w:r w:rsidR="00436AA5">
        <w:rPr>
          <w:rFonts w:ascii="Times New Roman" w:hAnsi="Times New Roman" w:cs="Times New Roman"/>
          <w:sz w:val="24"/>
          <w:szCs w:val="24"/>
        </w:rPr>
        <w:t>.</w:t>
      </w:r>
      <w:r w:rsidR="001C4D54">
        <w:rPr>
          <w:rFonts w:ascii="Times New Roman" w:hAnsi="Times New Roman" w:cs="Times New Roman"/>
          <w:sz w:val="24"/>
          <w:szCs w:val="24"/>
        </w:rPr>
        <w:t xml:space="preserve"> </w:t>
      </w:r>
    </w:p>
    <w:p w14:paraId="7B47E86F" w14:textId="451A78A4" w:rsidR="004815F7" w:rsidRDefault="001C4D54" w:rsidP="006B09D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to </w:t>
      </w:r>
      <w:r w:rsidR="004D288C">
        <w:rPr>
          <w:rFonts w:ascii="Times New Roman" w:hAnsi="Times New Roman" w:cs="Times New Roman"/>
          <w:sz w:val="24"/>
          <w:szCs w:val="24"/>
        </w:rPr>
        <w:t xml:space="preserve">explore </w:t>
      </w:r>
      <w:r>
        <w:rPr>
          <w:rFonts w:ascii="Times New Roman" w:hAnsi="Times New Roman" w:cs="Times New Roman"/>
          <w:sz w:val="24"/>
          <w:szCs w:val="24"/>
        </w:rPr>
        <w:t xml:space="preserve">whether our results are robust to other concurrent economic effects, we </w:t>
      </w:r>
      <w:r w:rsidR="004D288C">
        <w:rPr>
          <w:rFonts w:ascii="Times New Roman" w:hAnsi="Times New Roman" w:cs="Times New Roman"/>
          <w:sz w:val="24"/>
          <w:szCs w:val="24"/>
        </w:rPr>
        <w:t xml:space="preserve">estimated equation (1) controlling for </w:t>
      </w:r>
      <w:r w:rsidR="00635D42">
        <w:rPr>
          <w:rFonts w:ascii="Times New Roman" w:hAnsi="Times New Roman" w:cs="Times New Roman"/>
          <w:sz w:val="24"/>
          <w:szCs w:val="24"/>
        </w:rPr>
        <w:t xml:space="preserve">the </w:t>
      </w:r>
      <w:r w:rsidR="004D288C">
        <w:rPr>
          <w:rFonts w:ascii="Times New Roman" w:hAnsi="Times New Roman" w:cs="Times New Roman"/>
          <w:sz w:val="24"/>
          <w:szCs w:val="24"/>
        </w:rPr>
        <w:t xml:space="preserve">six other </w:t>
      </w:r>
      <w:r>
        <w:rPr>
          <w:rFonts w:ascii="Times New Roman" w:hAnsi="Times New Roman" w:cs="Times New Roman"/>
          <w:sz w:val="24"/>
          <w:szCs w:val="24"/>
        </w:rPr>
        <w:t xml:space="preserve">accounting </w:t>
      </w:r>
      <w:r w:rsidR="004D288C">
        <w:rPr>
          <w:rFonts w:ascii="Times New Roman" w:hAnsi="Times New Roman" w:cs="Times New Roman"/>
          <w:sz w:val="24"/>
          <w:szCs w:val="24"/>
        </w:rPr>
        <w:t xml:space="preserve">changes </w:t>
      </w:r>
      <w:r>
        <w:rPr>
          <w:rFonts w:ascii="Times New Roman" w:hAnsi="Times New Roman" w:cs="Times New Roman"/>
          <w:sz w:val="24"/>
          <w:szCs w:val="24"/>
        </w:rPr>
        <w:t>most affected by the switch</w:t>
      </w:r>
      <w:r w:rsidR="004D288C">
        <w:rPr>
          <w:rFonts w:ascii="Times New Roman" w:hAnsi="Times New Roman" w:cs="Times New Roman"/>
          <w:sz w:val="24"/>
          <w:szCs w:val="24"/>
        </w:rPr>
        <w:t xml:space="preserve"> from UK GAAP to IFRS (Horton </w:t>
      </w:r>
      <w:r w:rsidR="00DB0F79">
        <w:rPr>
          <w:rFonts w:ascii="Times New Roman" w:hAnsi="Times New Roman" w:cs="Times New Roman"/>
          <w:sz w:val="24"/>
          <w:szCs w:val="24"/>
        </w:rPr>
        <w:t>and Serafeim, 2010):</w:t>
      </w:r>
      <w:r w:rsidR="004D288C">
        <w:rPr>
          <w:rFonts w:ascii="Times New Roman" w:hAnsi="Times New Roman" w:cs="Times New Roman"/>
          <w:sz w:val="24"/>
          <w:szCs w:val="24"/>
        </w:rPr>
        <w:t xml:space="preserve"> accounting for leases, pensions, stock option compensation, deferred taxes, goodwill, and derivatives.</w:t>
      </w:r>
      <w:r w:rsidR="004D288C" w:rsidRPr="006525BC">
        <w:rPr>
          <w:rFonts w:ascii="Times New Roman" w:hAnsi="Times New Roman" w:cs="Times New Roman"/>
          <w:sz w:val="24"/>
          <w:szCs w:val="24"/>
        </w:rPr>
        <w:t xml:space="preserve"> </w:t>
      </w:r>
      <w:r w:rsidR="00DB0F79">
        <w:rPr>
          <w:rFonts w:ascii="Times New Roman" w:hAnsi="Times New Roman" w:cs="Times New Roman"/>
          <w:sz w:val="24"/>
          <w:szCs w:val="24"/>
        </w:rPr>
        <w:t xml:space="preserve">We </w:t>
      </w:r>
      <w:r w:rsidR="004D288C">
        <w:rPr>
          <w:rFonts w:ascii="Times New Roman" w:hAnsi="Times New Roman" w:cs="Times New Roman"/>
          <w:sz w:val="24"/>
          <w:szCs w:val="24"/>
        </w:rPr>
        <w:t>determin</w:t>
      </w:r>
      <w:r w:rsidR="00DB0F79">
        <w:rPr>
          <w:rFonts w:ascii="Times New Roman" w:hAnsi="Times New Roman" w:cs="Times New Roman"/>
          <w:sz w:val="24"/>
          <w:szCs w:val="24"/>
        </w:rPr>
        <w:t xml:space="preserve">e whether a firm was </w:t>
      </w:r>
      <w:r w:rsidR="00204A1E">
        <w:rPr>
          <w:rFonts w:ascii="Times New Roman" w:hAnsi="Times New Roman" w:cs="Times New Roman"/>
          <w:sz w:val="24"/>
          <w:szCs w:val="24"/>
        </w:rPr>
        <w:t xml:space="preserve">affected </w:t>
      </w:r>
      <w:r w:rsidR="00DB0F79">
        <w:rPr>
          <w:rFonts w:ascii="Times New Roman" w:hAnsi="Times New Roman" w:cs="Times New Roman"/>
          <w:sz w:val="24"/>
          <w:szCs w:val="24"/>
        </w:rPr>
        <w:t>by any of the six changes by examining i</w:t>
      </w:r>
      <w:r w:rsidR="004D288C">
        <w:rPr>
          <w:rFonts w:ascii="Times New Roman" w:hAnsi="Times New Roman" w:cs="Times New Roman"/>
          <w:sz w:val="24"/>
          <w:szCs w:val="24"/>
        </w:rPr>
        <w:t>ts reconciliation between</w:t>
      </w:r>
      <w:r w:rsidR="00204A1E">
        <w:rPr>
          <w:rFonts w:ascii="Times New Roman" w:hAnsi="Times New Roman" w:cs="Times New Roman"/>
          <w:sz w:val="24"/>
          <w:szCs w:val="24"/>
        </w:rPr>
        <w:t xml:space="preserve"> the income statement and balance sheet </w:t>
      </w:r>
      <w:r w:rsidR="00204A1E" w:rsidRPr="0060354E">
        <w:rPr>
          <w:rFonts w:asciiTheme="majorBidi" w:hAnsiTheme="majorBidi" w:cstheme="majorBidi"/>
          <w:sz w:val="24"/>
          <w:szCs w:val="24"/>
        </w:rPr>
        <w:t>reported in the last year of UK GAAP and the ‘as-if-IFRS’ restatement of the income statement and balance sheet.</w:t>
      </w:r>
      <w:r w:rsidR="00DB0F79" w:rsidRPr="0060354E">
        <w:rPr>
          <w:rFonts w:asciiTheme="majorBidi" w:hAnsiTheme="majorBidi" w:cstheme="majorBidi"/>
          <w:sz w:val="24"/>
          <w:szCs w:val="24"/>
        </w:rPr>
        <w:t xml:space="preserve"> </w:t>
      </w:r>
      <w:r w:rsidR="004815F7" w:rsidRPr="0060354E">
        <w:rPr>
          <w:rFonts w:asciiTheme="majorBidi" w:hAnsiTheme="majorBidi" w:cstheme="majorBidi"/>
          <w:sz w:val="24"/>
          <w:szCs w:val="24"/>
        </w:rPr>
        <w:t>We estimate the following regression which includes OTH_IFRS_CHG</w:t>
      </w:r>
      <w:r w:rsidR="004815F7" w:rsidRPr="0060354E">
        <w:rPr>
          <w:rFonts w:asciiTheme="majorBidi" w:hAnsiTheme="majorBidi" w:cstheme="majorBidi"/>
          <w:sz w:val="24"/>
          <w:szCs w:val="24"/>
          <w:vertAlign w:val="subscript"/>
        </w:rPr>
        <w:t>j</w:t>
      </w:r>
      <w:r w:rsidR="004815F7" w:rsidRPr="0060354E">
        <w:rPr>
          <w:rFonts w:asciiTheme="majorBidi" w:hAnsiTheme="majorBidi" w:cstheme="majorBidi"/>
          <w:sz w:val="24"/>
          <w:szCs w:val="24"/>
        </w:rPr>
        <w:t xml:space="preserve"> which are a sequence of indicator variables that equal 1 if a firm reported an impact from the particular accounting change (j = 1</w:t>
      </w:r>
      <w:r w:rsidR="00635D42" w:rsidRPr="0060354E">
        <w:rPr>
          <w:rFonts w:asciiTheme="majorBidi" w:hAnsiTheme="majorBidi" w:cstheme="majorBidi"/>
          <w:sz w:val="24"/>
          <w:szCs w:val="24"/>
        </w:rPr>
        <w:t>,</w:t>
      </w:r>
      <w:r w:rsidR="004815F7" w:rsidRPr="0060354E">
        <w:rPr>
          <w:rFonts w:asciiTheme="majorBidi" w:hAnsiTheme="majorBidi" w:cstheme="majorBidi"/>
          <w:sz w:val="24"/>
          <w:szCs w:val="24"/>
        </w:rPr>
        <w:t>6)</w:t>
      </w:r>
      <w:r w:rsidR="00CE0EC9" w:rsidRPr="0060354E">
        <w:rPr>
          <w:rFonts w:asciiTheme="majorBidi" w:hAnsiTheme="majorBidi" w:cstheme="majorBidi"/>
          <w:sz w:val="24"/>
          <w:szCs w:val="24"/>
        </w:rPr>
        <w:t xml:space="preserve">. These indicator variables are interacted with POST, </w:t>
      </w:r>
      <w:bookmarkStart w:id="3" w:name="_Hlk49259854"/>
      <w:r w:rsidR="008E0157" w:rsidRPr="0060354E">
        <w:rPr>
          <w:rFonts w:asciiTheme="majorBidi" w:hAnsiTheme="majorBidi" w:cstheme="majorBidi"/>
          <w:sz w:val="24"/>
          <w:szCs w:val="24"/>
        </w:rPr>
        <w:t xml:space="preserve">an indicator variable that equals 1 </w:t>
      </w:r>
      <w:r w:rsidR="008E0157">
        <w:rPr>
          <w:rFonts w:ascii="Times New Roman" w:hAnsi="Times New Roman" w:cs="Times New Roman"/>
          <w:sz w:val="24"/>
          <w:szCs w:val="24"/>
        </w:rPr>
        <w:t xml:space="preserve">if the firm has switched to IFRS, 0 otherwise. </w:t>
      </w:r>
      <w:bookmarkEnd w:id="3"/>
      <w:r w:rsidR="00CE0EC9" w:rsidRPr="0060354E">
        <w:rPr>
          <w:rFonts w:asciiTheme="majorBidi" w:hAnsiTheme="majorBidi" w:cstheme="majorBidi"/>
          <w:sz w:val="24"/>
          <w:szCs w:val="24"/>
        </w:rPr>
        <w:t>Note that the IFRS change indicators are not included as intercept dumm</w:t>
      </w:r>
      <w:r w:rsidR="008E13D4" w:rsidRPr="0060354E">
        <w:rPr>
          <w:rFonts w:asciiTheme="majorBidi" w:hAnsiTheme="majorBidi" w:cstheme="majorBidi"/>
          <w:sz w:val="24"/>
          <w:szCs w:val="24"/>
        </w:rPr>
        <w:t>ies</w:t>
      </w:r>
      <w:r w:rsidR="00CE0EC9" w:rsidRPr="0060354E">
        <w:rPr>
          <w:rFonts w:asciiTheme="majorBidi" w:hAnsiTheme="majorBidi" w:cstheme="majorBidi"/>
          <w:sz w:val="24"/>
          <w:szCs w:val="24"/>
        </w:rPr>
        <w:t xml:space="preserve">, because </w:t>
      </w:r>
      <w:r w:rsidR="00635D42" w:rsidRPr="0060354E">
        <w:rPr>
          <w:rFonts w:asciiTheme="majorBidi" w:hAnsiTheme="majorBidi" w:cstheme="majorBidi"/>
          <w:sz w:val="24"/>
          <w:szCs w:val="24"/>
        </w:rPr>
        <w:t>they are</w:t>
      </w:r>
      <w:r w:rsidR="00CE0EC9" w:rsidRPr="0060354E">
        <w:rPr>
          <w:rFonts w:asciiTheme="majorBidi" w:hAnsiTheme="majorBidi" w:cstheme="majorBidi"/>
          <w:sz w:val="24"/>
          <w:szCs w:val="24"/>
        </w:rPr>
        <w:t xml:space="preserve"> zero before IFRS, by definition.</w:t>
      </w:r>
    </w:p>
    <w:p w14:paraId="26D1DEBC" w14:textId="4FEF1FCB" w:rsidR="004815F7" w:rsidRDefault="004815F7" w:rsidP="004815F7">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C11785">
        <w:rPr>
          <w:rFonts w:ascii="Times New Roman" w:hAnsi="Times New Roman" w:cs="Times New Roman"/>
          <w:sz w:val="24"/>
          <w:szCs w:val="24"/>
        </w:rPr>
        <w:t>R&amp;D</w:t>
      </w:r>
      <w:r>
        <w:rPr>
          <w:rFonts w:ascii="Times New Roman" w:hAnsi="Times New Roman" w:cs="Times New Roman"/>
          <w:sz w:val="24"/>
          <w:szCs w:val="24"/>
        </w:rPr>
        <w:t xml:space="preserve"> Growth = </w:t>
      </w:r>
      <w:r w:rsidR="005C4678">
        <w:rPr>
          <w:rFonts w:ascii="Symbol" w:hAnsi="Symbol" w:cs="Times New Roman"/>
          <w:sz w:val="24"/>
          <w:szCs w:val="24"/>
        </w:rPr>
        <w:t></w:t>
      </w:r>
      <w:r w:rsidRPr="00DF2E72">
        <w:rPr>
          <w:rFonts w:ascii="Times New Roman" w:hAnsi="Times New Roman" w:cs="Times New Roman"/>
          <w:sz w:val="24"/>
          <w:szCs w:val="24"/>
          <w:vertAlign w:val="subscript"/>
        </w:rPr>
        <w:t xml:space="preserve">0 </w:t>
      </w:r>
      <w:r>
        <w:rPr>
          <w:rFonts w:ascii="Times New Roman" w:hAnsi="Times New Roman" w:cs="Times New Roman"/>
          <w:sz w:val="24"/>
          <w:szCs w:val="24"/>
        </w:rPr>
        <w:t>+ ∑</w:t>
      </w:r>
      <w:r w:rsidRPr="0012154E">
        <w:rPr>
          <w:rFonts w:ascii="Times New Roman" w:hAnsi="Times New Roman" w:cs="Times New Roman"/>
          <w:sz w:val="24"/>
          <w:szCs w:val="24"/>
          <w:vertAlign w:val="subscript"/>
        </w:rPr>
        <w:t xml:space="preserve">t </w:t>
      </w:r>
      <w:r>
        <w:rPr>
          <w:rFonts w:ascii="Symbol" w:hAnsi="Symbol" w:cs="Times New Roman"/>
          <w:sz w:val="24"/>
          <w:szCs w:val="24"/>
        </w:rPr>
        <w:t></w:t>
      </w:r>
      <w:r w:rsidRPr="0012154E">
        <w:rPr>
          <w:rFonts w:ascii="Times New Roman" w:hAnsi="Times New Roman" w:cs="Times New Roman"/>
          <w:sz w:val="24"/>
          <w:szCs w:val="24"/>
          <w:vertAlign w:val="subscript"/>
        </w:rPr>
        <w:t>t</w:t>
      </w:r>
      <w:r>
        <w:rPr>
          <w:rFonts w:ascii="Times New Roman" w:hAnsi="Times New Roman" w:cs="Times New Roman"/>
          <w:sz w:val="24"/>
          <w:szCs w:val="24"/>
        </w:rPr>
        <w:t>SWITCH*IFRS</w:t>
      </w:r>
      <w:r w:rsidRPr="0012154E">
        <w:rPr>
          <w:rFonts w:ascii="Times New Roman" w:hAnsi="Times New Roman" w:cs="Times New Roman"/>
          <w:sz w:val="24"/>
          <w:szCs w:val="24"/>
          <w:vertAlign w:val="subscript"/>
        </w:rPr>
        <w:t xml:space="preserve">t </w:t>
      </w:r>
      <w:r>
        <w:rPr>
          <w:rFonts w:ascii="Times New Roman" w:hAnsi="Times New Roman" w:cs="Times New Roman"/>
          <w:sz w:val="24"/>
          <w:szCs w:val="24"/>
        </w:rPr>
        <w:t xml:space="preserve">+ </w:t>
      </w:r>
      <w:r>
        <w:rPr>
          <w:rFonts w:ascii="Symbol" w:hAnsi="Symbol" w:cs="Times New Roman"/>
          <w:sz w:val="24"/>
          <w:szCs w:val="24"/>
        </w:rPr>
        <w:t></w:t>
      </w:r>
      <w:r>
        <w:rPr>
          <w:rFonts w:ascii="Times New Roman" w:hAnsi="Times New Roman" w:cs="Times New Roman"/>
          <w:sz w:val="24"/>
          <w:szCs w:val="24"/>
          <w:vertAlign w:val="subscript"/>
        </w:rPr>
        <w:t>j</w:t>
      </w:r>
      <w:r>
        <w:rPr>
          <w:rFonts w:ascii="Symbol" w:hAnsi="Symbol" w:cs="Times New Roman"/>
          <w:sz w:val="24"/>
          <w:szCs w:val="24"/>
        </w:rPr>
        <w:t></w:t>
      </w:r>
      <w:r>
        <w:rPr>
          <w:rFonts w:ascii="Times New Roman" w:hAnsi="Times New Roman" w:cs="Times New Roman"/>
          <w:sz w:val="24"/>
          <w:szCs w:val="24"/>
          <w:vertAlign w:val="subscript"/>
        </w:rPr>
        <w:t>j</w:t>
      </w:r>
      <w:r>
        <w:rPr>
          <w:rFonts w:ascii="Times New Roman" w:hAnsi="Times New Roman" w:cs="Times New Roman"/>
          <w:sz w:val="24"/>
          <w:szCs w:val="24"/>
        </w:rPr>
        <w:t>OTH_IFRS_CHG</w:t>
      </w:r>
      <w:r>
        <w:rPr>
          <w:rFonts w:ascii="Times New Roman" w:hAnsi="Times New Roman" w:cs="Times New Roman"/>
          <w:sz w:val="24"/>
          <w:szCs w:val="24"/>
          <w:vertAlign w:val="subscript"/>
        </w:rPr>
        <w:t>j</w:t>
      </w:r>
      <w:r>
        <w:rPr>
          <w:rFonts w:ascii="Times New Roman" w:hAnsi="Times New Roman" w:cs="Times New Roman"/>
          <w:sz w:val="24"/>
          <w:szCs w:val="24"/>
        </w:rPr>
        <w:t xml:space="preserve">*POST </w:t>
      </w:r>
    </w:p>
    <w:p w14:paraId="428D26E3" w14:textId="045A781C" w:rsidR="004815F7" w:rsidRDefault="004815F7" w:rsidP="004815F7">
      <w:pPr>
        <w:tabs>
          <w:tab w:val="left" w:pos="720"/>
        </w:tabs>
        <w:spacing w:after="0" w:line="240" w:lineRule="auto"/>
        <w:rPr>
          <w:rFonts w:ascii="Times New Roman" w:hAnsi="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r w:rsidRPr="0012154E">
        <w:rPr>
          <w:rFonts w:ascii="Times New Roman" w:hAnsi="Times New Roman" w:cs="Times New Roman"/>
          <w:sz w:val="24"/>
          <w:szCs w:val="24"/>
          <w:vertAlign w:val="subscript"/>
        </w:rPr>
        <w:t>i</w:t>
      </w:r>
      <w:r>
        <w:rPr>
          <w:rFonts w:ascii="Symbol" w:hAnsi="Symbol" w:cs="Times New Roman"/>
          <w:sz w:val="24"/>
          <w:szCs w:val="24"/>
        </w:rPr>
        <w:sym w:font="Symbol" w:char="F046"/>
      </w:r>
      <w:r>
        <w:rPr>
          <w:rFonts w:ascii="Times New Roman" w:hAnsi="Times New Roman" w:cs="Times New Roman"/>
          <w:sz w:val="24"/>
          <w:szCs w:val="24"/>
          <w:vertAlign w:val="subscript"/>
        </w:rPr>
        <w:t>i</w:t>
      </w:r>
      <w:r>
        <w:rPr>
          <w:rFonts w:ascii="Times New Roman" w:hAnsi="Times New Roman" w:cs="Times New Roman"/>
          <w:sz w:val="24"/>
          <w:szCs w:val="24"/>
        </w:rPr>
        <w:t>Control</w:t>
      </w:r>
      <w:r w:rsidRPr="0012154E">
        <w:rPr>
          <w:rFonts w:ascii="Times New Roman" w:hAnsi="Times New Roman" w:cs="Times New Roman"/>
          <w:sz w:val="24"/>
          <w:szCs w:val="24"/>
          <w:vertAlign w:val="subscript"/>
        </w:rPr>
        <w:t xml:space="preserve">i </w:t>
      </w:r>
      <w:r>
        <w:rPr>
          <w:rFonts w:ascii="Times New Roman" w:hAnsi="Times New Roman" w:cs="Times New Roman"/>
          <w:sz w:val="24"/>
          <w:szCs w:val="24"/>
        </w:rPr>
        <w:t xml:space="preserve">+ firm fixed effects + year fixed effects + </w:t>
      </w:r>
      <w:r w:rsidRPr="00480C6E">
        <w:rPr>
          <w:rFonts w:ascii="Symbol" w:hAnsi="Symbol" w:cs="Times New Roman"/>
          <w:sz w:val="24"/>
          <w:szCs w:val="24"/>
        </w:rPr>
        <w:t></w:t>
      </w:r>
      <w:r>
        <w:rPr>
          <w:rFonts w:ascii="Symbol" w:hAnsi="Symbol" w:cs="Times New Roman"/>
          <w:sz w:val="24"/>
          <w:szCs w:val="24"/>
        </w:rPr>
        <w:tab/>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 xml:space="preserve">        </w:t>
      </w:r>
    </w:p>
    <w:p w14:paraId="408EEED3" w14:textId="0EBB120A" w:rsidR="004815F7" w:rsidRDefault="004815F7" w:rsidP="004815F7">
      <w:pPr>
        <w:tabs>
          <w:tab w:val="left" w:pos="720"/>
        </w:tabs>
        <w:spacing w:after="0" w:line="240" w:lineRule="auto"/>
        <w:rPr>
          <w:rFonts w:ascii="Times New Roman" w:hAnsi="Times New Roman" w:cs="Times New Roman"/>
          <w:sz w:val="24"/>
          <w:szCs w:val="24"/>
        </w:rPr>
      </w:pPr>
    </w:p>
    <w:p w14:paraId="1EF5F6CD" w14:textId="239314B4" w:rsidR="004D288C" w:rsidRDefault="00F337A4" w:rsidP="006B09D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E24437">
        <w:rPr>
          <w:rFonts w:ascii="Times New Roman" w:hAnsi="Times New Roman" w:cs="Times New Roman"/>
          <w:sz w:val="24"/>
          <w:szCs w:val="24"/>
        </w:rPr>
        <w:t>Results are reported in Table 1</w:t>
      </w:r>
      <w:r w:rsidR="00B45BF6">
        <w:rPr>
          <w:rFonts w:ascii="Times New Roman" w:hAnsi="Times New Roman" w:cs="Times New Roman"/>
          <w:sz w:val="24"/>
          <w:szCs w:val="24"/>
        </w:rPr>
        <w:t>1</w:t>
      </w:r>
      <w:r w:rsidR="00E24437">
        <w:rPr>
          <w:rFonts w:ascii="Times New Roman" w:hAnsi="Times New Roman" w:cs="Times New Roman"/>
          <w:sz w:val="24"/>
          <w:szCs w:val="24"/>
        </w:rPr>
        <w:t xml:space="preserve">. The coefficients on </w:t>
      </w:r>
      <w:r>
        <w:rPr>
          <w:rFonts w:ascii="Times New Roman" w:hAnsi="Times New Roman" w:cs="Times New Roman"/>
          <w:sz w:val="24"/>
          <w:szCs w:val="24"/>
        </w:rPr>
        <w:t>OTH_</w:t>
      </w:r>
      <w:r w:rsidR="00E24437">
        <w:rPr>
          <w:rFonts w:ascii="Times New Roman" w:hAnsi="Times New Roman" w:cs="Times New Roman"/>
          <w:sz w:val="24"/>
          <w:szCs w:val="24"/>
        </w:rPr>
        <w:t>IFRS</w:t>
      </w:r>
      <w:r>
        <w:rPr>
          <w:rFonts w:ascii="Times New Roman" w:hAnsi="Times New Roman" w:cs="Times New Roman"/>
          <w:sz w:val="24"/>
          <w:szCs w:val="24"/>
        </w:rPr>
        <w:t>_CH</w:t>
      </w:r>
      <w:r w:rsidR="00635D42">
        <w:rPr>
          <w:rFonts w:ascii="Times New Roman" w:hAnsi="Times New Roman" w:cs="Times New Roman"/>
          <w:sz w:val="24"/>
          <w:szCs w:val="24"/>
        </w:rPr>
        <w:t>G</w:t>
      </w:r>
      <w:r>
        <w:rPr>
          <w:rFonts w:ascii="Times New Roman" w:hAnsi="Times New Roman" w:cs="Times New Roman"/>
          <w:sz w:val="24"/>
          <w:szCs w:val="24"/>
        </w:rPr>
        <w:t xml:space="preserve">*POST are </w:t>
      </w:r>
      <w:r w:rsidR="00E24437">
        <w:rPr>
          <w:rFonts w:ascii="Times New Roman" w:hAnsi="Times New Roman" w:cs="Times New Roman"/>
          <w:sz w:val="24"/>
          <w:szCs w:val="24"/>
        </w:rPr>
        <w:t xml:space="preserve">mostly insignificant, implying that these accounting changes did not affect </w:t>
      </w:r>
      <w:r w:rsidR="00151D77">
        <w:rPr>
          <w:rFonts w:ascii="Times New Roman" w:hAnsi="Times New Roman" w:cs="Times New Roman"/>
          <w:sz w:val="24"/>
          <w:szCs w:val="24"/>
        </w:rPr>
        <w:t>R&amp;D expenditures. Most important, f</w:t>
      </w:r>
      <w:r w:rsidR="004D288C">
        <w:rPr>
          <w:rFonts w:ascii="Times New Roman" w:hAnsi="Times New Roman" w:cs="Times New Roman"/>
          <w:sz w:val="24"/>
          <w:szCs w:val="24"/>
        </w:rPr>
        <w:t>or all three R&amp;D metrics, the coefficients on SWITCH*IFRS yea</w:t>
      </w:r>
      <w:r w:rsidR="00E24437">
        <w:rPr>
          <w:rFonts w:ascii="Times New Roman" w:hAnsi="Times New Roman" w:cs="Times New Roman"/>
          <w:sz w:val="24"/>
          <w:szCs w:val="24"/>
        </w:rPr>
        <w:t>r are significantly positive and similar to the results in Table 6</w:t>
      </w:r>
      <w:r w:rsidR="004D288C">
        <w:rPr>
          <w:rFonts w:ascii="Times New Roman" w:hAnsi="Times New Roman" w:cs="Times New Roman"/>
          <w:sz w:val="24"/>
          <w:szCs w:val="24"/>
        </w:rPr>
        <w:t xml:space="preserve">. </w:t>
      </w:r>
      <w:r w:rsidR="00DB0F79">
        <w:rPr>
          <w:rFonts w:ascii="Times New Roman" w:hAnsi="Times New Roman" w:cs="Times New Roman"/>
          <w:sz w:val="24"/>
          <w:szCs w:val="24"/>
        </w:rPr>
        <w:t>From this, we conclude that our results are robust to controlling for other IFRS changes.</w:t>
      </w:r>
    </w:p>
    <w:p w14:paraId="10031DBF" w14:textId="64C8B0F4" w:rsidR="00E24CEA" w:rsidRDefault="00C70584" w:rsidP="006B09D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Finally, to further explore the results in Table 7 (switchers vs non-switchers) we conducted three additional analyses that included</w:t>
      </w:r>
      <w:r w:rsidR="00880E2C">
        <w:rPr>
          <w:rFonts w:ascii="Times New Roman" w:hAnsi="Times New Roman" w:cs="Times New Roman"/>
          <w:sz w:val="24"/>
          <w:szCs w:val="24"/>
        </w:rPr>
        <w:t xml:space="preserve"> </w:t>
      </w:r>
      <w:r>
        <w:rPr>
          <w:rFonts w:ascii="Times New Roman" w:hAnsi="Times New Roman" w:cs="Times New Roman"/>
          <w:sz w:val="24"/>
          <w:szCs w:val="24"/>
        </w:rPr>
        <w:t>the non-switchers</w:t>
      </w:r>
      <w:r w:rsidR="00880E2C">
        <w:rPr>
          <w:rFonts w:ascii="Times New Roman" w:hAnsi="Times New Roman" w:cs="Times New Roman"/>
          <w:sz w:val="24"/>
          <w:szCs w:val="24"/>
        </w:rPr>
        <w:t xml:space="preserve"> (results not tabulated for brevity)</w:t>
      </w:r>
      <w:r>
        <w:rPr>
          <w:rFonts w:ascii="Times New Roman" w:hAnsi="Times New Roman" w:cs="Times New Roman"/>
          <w:sz w:val="24"/>
          <w:szCs w:val="24"/>
        </w:rPr>
        <w:t xml:space="preserve">. </w:t>
      </w:r>
      <w:r w:rsidR="00880E2C">
        <w:rPr>
          <w:rFonts w:ascii="Times New Roman" w:hAnsi="Times New Roman" w:cs="Times New Roman"/>
          <w:sz w:val="24"/>
          <w:szCs w:val="24"/>
        </w:rPr>
        <w:t>First, we included these non-swit</w:t>
      </w:r>
      <w:r w:rsidR="00E24CEA">
        <w:rPr>
          <w:rFonts w:ascii="Times New Roman" w:hAnsi="Times New Roman" w:cs="Times New Roman"/>
          <w:sz w:val="24"/>
          <w:szCs w:val="24"/>
        </w:rPr>
        <w:t>ch</w:t>
      </w:r>
      <w:r w:rsidR="00880E2C">
        <w:rPr>
          <w:rFonts w:ascii="Times New Roman" w:hAnsi="Times New Roman" w:cs="Times New Roman"/>
          <w:sz w:val="24"/>
          <w:szCs w:val="24"/>
        </w:rPr>
        <w:t xml:space="preserve">ers with capitalizers, since both groups should be similar with respect to changes in their R&amp;D expenditures. We find that switchers increased their R&amp;D expenditures significantly more than </w:t>
      </w:r>
      <w:r w:rsidR="00854310">
        <w:rPr>
          <w:rFonts w:ascii="Times New Roman" w:hAnsi="Times New Roman" w:cs="Times New Roman"/>
          <w:sz w:val="24"/>
          <w:szCs w:val="24"/>
        </w:rPr>
        <w:t>non-switchers</w:t>
      </w:r>
      <w:r w:rsidR="00880E2C">
        <w:rPr>
          <w:rFonts w:ascii="Times New Roman" w:hAnsi="Times New Roman" w:cs="Times New Roman"/>
          <w:sz w:val="24"/>
          <w:szCs w:val="24"/>
        </w:rPr>
        <w:t xml:space="preserve">/capitalizers. As an alternative specification, we estimated </w:t>
      </w:r>
      <w:r w:rsidR="00DF269A">
        <w:rPr>
          <w:rFonts w:ascii="Times New Roman" w:hAnsi="Times New Roman" w:cs="Times New Roman"/>
          <w:sz w:val="24"/>
          <w:szCs w:val="24"/>
        </w:rPr>
        <w:t>equ</w:t>
      </w:r>
      <w:r w:rsidR="001B78AE">
        <w:rPr>
          <w:rFonts w:ascii="Times New Roman" w:hAnsi="Times New Roman" w:cs="Times New Roman"/>
          <w:sz w:val="24"/>
          <w:szCs w:val="24"/>
        </w:rPr>
        <w:t>at</w:t>
      </w:r>
      <w:r w:rsidR="00DF269A">
        <w:rPr>
          <w:rFonts w:ascii="Times New Roman" w:hAnsi="Times New Roman" w:cs="Times New Roman"/>
          <w:sz w:val="24"/>
          <w:szCs w:val="24"/>
        </w:rPr>
        <w:t xml:space="preserve">ion (1) </w:t>
      </w:r>
      <w:r w:rsidR="00880E2C">
        <w:rPr>
          <w:rFonts w:ascii="Times New Roman" w:hAnsi="Times New Roman" w:cs="Times New Roman"/>
          <w:sz w:val="24"/>
          <w:szCs w:val="24"/>
        </w:rPr>
        <w:t xml:space="preserve">with 2 </w:t>
      </w:r>
      <w:r w:rsidR="00E44E95">
        <w:rPr>
          <w:rFonts w:ascii="Times New Roman" w:hAnsi="Times New Roman" w:cs="Times New Roman"/>
          <w:sz w:val="24"/>
          <w:szCs w:val="24"/>
        </w:rPr>
        <w:t>indicator</w:t>
      </w:r>
      <w:r w:rsidR="00880E2C">
        <w:rPr>
          <w:rFonts w:ascii="Times New Roman" w:hAnsi="Times New Roman" w:cs="Times New Roman"/>
          <w:sz w:val="24"/>
          <w:szCs w:val="24"/>
        </w:rPr>
        <w:t xml:space="preserve"> variables, to distinguish non-switchers vs capitalizers, and non-swit</w:t>
      </w:r>
      <w:r w:rsidR="00E24CEA">
        <w:rPr>
          <w:rFonts w:ascii="Times New Roman" w:hAnsi="Times New Roman" w:cs="Times New Roman"/>
          <w:sz w:val="24"/>
          <w:szCs w:val="24"/>
        </w:rPr>
        <w:t>ch</w:t>
      </w:r>
      <w:r w:rsidR="00880E2C">
        <w:rPr>
          <w:rFonts w:ascii="Times New Roman" w:hAnsi="Times New Roman" w:cs="Times New Roman"/>
          <w:sz w:val="24"/>
          <w:szCs w:val="24"/>
        </w:rPr>
        <w:t xml:space="preserve">ers vs switchers. We find that </w:t>
      </w:r>
      <w:r w:rsidR="00880E2C" w:rsidRPr="00CF1A96">
        <w:rPr>
          <w:rFonts w:ascii="Times New Roman" w:eastAsia="Times New Roman" w:hAnsi="Times New Roman" w:cs="Times New Roman"/>
          <w:sz w:val="24"/>
          <w:szCs w:val="24"/>
        </w:rPr>
        <w:t>that switchers increased R&amp;D expenditures significantly more than capitalizers/</w:t>
      </w:r>
      <w:r w:rsidR="00854310">
        <w:rPr>
          <w:rFonts w:ascii="Times New Roman" w:eastAsia="Times New Roman" w:hAnsi="Times New Roman" w:cs="Times New Roman"/>
          <w:sz w:val="24"/>
          <w:szCs w:val="24"/>
        </w:rPr>
        <w:t>non-switchers</w:t>
      </w:r>
      <w:r w:rsidR="00880E2C" w:rsidRPr="00CF1A96">
        <w:rPr>
          <w:rFonts w:ascii="Times New Roman" w:eastAsia="Times New Roman" w:hAnsi="Times New Roman" w:cs="Times New Roman"/>
          <w:sz w:val="24"/>
          <w:szCs w:val="24"/>
        </w:rPr>
        <w:t xml:space="preserve">, </w:t>
      </w:r>
      <w:r w:rsidR="00880E2C">
        <w:rPr>
          <w:rFonts w:ascii="Times New Roman" w:eastAsia="Times New Roman" w:hAnsi="Times New Roman" w:cs="Times New Roman"/>
          <w:sz w:val="24"/>
          <w:szCs w:val="24"/>
        </w:rPr>
        <w:t xml:space="preserve">and </w:t>
      </w:r>
      <w:r w:rsidR="00880E2C" w:rsidRPr="00CF1A96">
        <w:rPr>
          <w:rFonts w:ascii="Times New Roman" w:eastAsia="Times New Roman" w:hAnsi="Times New Roman" w:cs="Times New Roman"/>
          <w:sz w:val="24"/>
          <w:szCs w:val="24"/>
        </w:rPr>
        <w:t>no difference</w:t>
      </w:r>
      <w:r w:rsidR="00880E2C">
        <w:rPr>
          <w:rFonts w:ascii="Times New Roman" w:eastAsia="Times New Roman" w:hAnsi="Times New Roman" w:cs="Times New Roman"/>
          <w:sz w:val="24"/>
          <w:szCs w:val="24"/>
        </w:rPr>
        <w:t xml:space="preserve"> in R&amp;D</w:t>
      </w:r>
      <w:r w:rsidR="00DF269A">
        <w:rPr>
          <w:rFonts w:ascii="Times New Roman" w:eastAsia="Times New Roman" w:hAnsi="Times New Roman" w:cs="Times New Roman"/>
          <w:sz w:val="24"/>
          <w:szCs w:val="24"/>
        </w:rPr>
        <w:t xml:space="preserve"> change</w:t>
      </w:r>
      <w:r w:rsidR="00880E2C">
        <w:rPr>
          <w:rFonts w:ascii="Times New Roman" w:eastAsia="Times New Roman" w:hAnsi="Times New Roman" w:cs="Times New Roman"/>
          <w:sz w:val="24"/>
          <w:szCs w:val="24"/>
        </w:rPr>
        <w:t xml:space="preserve"> </w:t>
      </w:r>
      <w:r w:rsidR="00880E2C" w:rsidRPr="00CF1A96">
        <w:rPr>
          <w:rFonts w:ascii="Times New Roman" w:eastAsia="Times New Roman" w:hAnsi="Times New Roman" w:cs="Times New Roman"/>
          <w:sz w:val="24"/>
          <w:szCs w:val="24"/>
        </w:rPr>
        <w:t xml:space="preserve">between non-switchers vs capitalizers. Finally, we </w:t>
      </w:r>
      <w:r w:rsidR="00880E2C" w:rsidRPr="00CF1A96">
        <w:rPr>
          <w:rFonts w:ascii="Times New Roman" w:hAnsi="Times New Roman" w:cs="Times New Roman"/>
          <w:sz w:val="24"/>
          <w:szCs w:val="24"/>
        </w:rPr>
        <w:t xml:space="preserve">combined switchers and </w:t>
      </w:r>
      <w:r w:rsidR="00880E2C">
        <w:rPr>
          <w:rFonts w:ascii="Times New Roman" w:hAnsi="Times New Roman" w:cs="Times New Roman"/>
          <w:sz w:val="24"/>
          <w:szCs w:val="24"/>
        </w:rPr>
        <w:t>non-swit</w:t>
      </w:r>
      <w:r w:rsidR="00E24CEA">
        <w:rPr>
          <w:rFonts w:ascii="Times New Roman" w:hAnsi="Times New Roman" w:cs="Times New Roman"/>
          <w:sz w:val="24"/>
          <w:szCs w:val="24"/>
        </w:rPr>
        <w:t>ch</w:t>
      </w:r>
      <w:r w:rsidR="00880E2C">
        <w:rPr>
          <w:rFonts w:ascii="Times New Roman" w:hAnsi="Times New Roman" w:cs="Times New Roman"/>
          <w:sz w:val="24"/>
          <w:szCs w:val="24"/>
        </w:rPr>
        <w:t>ers into one group, vs capitalizers. S</w:t>
      </w:r>
      <w:r w:rsidR="00880E2C" w:rsidRPr="00CF1A96">
        <w:rPr>
          <w:rFonts w:ascii="Times New Roman" w:hAnsi="Times New Roman" w:cs="Times New Roman"/>
          <w:sz w:val="24"/>
          <w:szCs w:val="24"/>
        </w:rPr>
        <w:t xml:space="preserve">ince </w:t>
      </w:r>
      <w:r w:rsidR="00880E2C">
        <w:rPr>
          <w:rFonts w:ascii="Times New Roman" w:hAnsi="Times New Roman" w:cs="Times New Roman"/>
          <w:sz w:val="24"/>
          <w:szCs w:val="24"/>
        </w:rPr>
        <w:t>non-swit</w:t>
      </w:r>
      <w:r w:rsidR="00E24CEA">
        <w:rPr>
          <w:rFonts w:ascii="Times New Roman" w:hAnsi="Times New Roman" w:cs="Times New Roman"/>
          <w:sz w:val="24"/>
          <w:szCs w:val="24"/>
        </w:rPr>
        <w:t>ch</w:t>
      </w:r>
      <w:r w:rsidR="00880E2C">
        <w:rPr>
          <w:rFonts w:ascii="Times New Roman" w:hAnsi="Times New Roman" w:cs="Times New Roman"/>
          <w:sz w:val="24"/>
          <w:szCs w:val="24"/>
        </w:rPr>
        <w:t>ers</w:t>
      </w:r>
      <w:r w:rsidR="00880E2C" w:rsidRPr="00CF1A96">
        <w:rPr>
          <w:rFonts w:ascii="Times New Roman" w:hAnsi="Times New Roman" w:cs="Times New Roman"/>
          <w:sz w:val="24"/>
          <w:szCs w:val="24"/>
        </w:rPr>
        <w:t xml:space="preserve"> should not increase</w:t>
      </w:r>
      <w:r w:rsidR="00880E2C">
        <w:rPr>
          <w:rFonts w:ascii="Times New Roman" w:hAnsi="Times New Roman" w:cs="Times New Roman"/>
          <w:sz w:val="24"/>
          <w:szCs w:val="24"/>
        </w:rPr>
        <w:t xml:space="preserve"> their R&amp;D expenditures</w:t>
      </w:r>
      <w:r w:rsidR="00880E2C" w:rsidRPr="00CF1A96">
        <w:rPr>
          <w:rFonts w:ascii="Times New Roman" w:hAnsi="Times New Roman" w:cs="Times New Roman"/>
          <w:sz w:val="24"/>
          <w:szCs w:val="24"/>
        </w:rPr>
        <w:t>, combining them with switchers "pollutes" the switchers, which should weaken our result</w:t>
      </w:r>
      <w:r w:rsidR="00880E2C">
        <w:rPr>
          <w:rFonts w:ascii="Times New Roman" w:hAnsi="Times New Roman" w:cs="Times New Roman"/>
          <w:sz w:val="24"/>
          <w:szCs w:val="24"/>
        </w:rPr>
        <w:t>s</w:t>
      </w:r>
      <w:r w:rsidR="00880E2C" w:rsidRPr="00CF1A96">
        <w:rPr>
          <w:rFonts w:ascii="Times New Roman" w:hAnsi="Times New Roman" w:cs="Times New Roman"/>
          <w:sz w:val="24"/>
          <w:szCs w:val="24"/>
        </w:rPr>
        <w:t xml:space="preserve">. </w:t>
      </w:r>
      <w:r w:rsidR="00880E2C">
        <w:rPr>
          <w:rFonts w:ascii="Times New Roman" w:hAnsi="Times New Roman" w:cs="Times New Roman"/>
          <w:sz w:val="24"/>
          <w:szCs w:val="24"/>
        </w:rPr>
        <w:t xml:space="preserve">As expected, we find no significant difference in R&amp;D growth between capitalizers and the combined non-switchers / switchers. </w:t>
      </w:r>
      <w:r w:rsidR="00210B17">
        <w:rPr>
          <w:rFonts w:ascii="Times New Roman" w:hAnsi="Times New Roman" w:cs="Times New Roman"/>
          <w:sz w:val="24"/>
          <w:szCs w:val="24"/>
        </w:rPr>
        <w:t>All of these results support our primary analyses.</w:t>
      </w:r>
      <w:r w:rsidR="00E24CEA">
        <w:rPr>
          <w:rFonts w:ascii="Times New Roman" w:hAnsi="Times New Roman" w:cs="Times New Roman"/>
          <w:sz w:val="24"/>
          <w:szCs w:val="24"/>
        </w:rPr>
        <w:t xml:space="preserve"> </w:t>
      </w:r>
    </w:p>
    <w:p w14:paraId="6AB5FB6D" w14:textId="1CC493F8" w:rsidR="004723EF" w:rsidRDefault="009602F9" w:rsidP="006B09D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summary, both our primary and supplementary tests </w:t>
      </w:r>
      <w:r w:rsidR="00951200">
        <w:rPr>
          <w:rFonts w:ascii="Times New Roman" w:hAnsi="Times New Roman" w:cs="Times New Roman"/>
          <w:sz w:val="24"/>
          <w:szCs w:val="24"/>
        </w:rPr>
        <w:t xml:space="preserve">in Tables 6 – 11 are strongly consistent and </w:t>
      </w:r>
      <w:r>
        <w:rPr>
          <w:rFonts w:ascii="Times New Roman" w:hAnsi="Times New Roman" w:cs="Times New Roman"/>
          <w:sz w:val="24"/>
          <w:szCs w:val="24"/>
        </w:rPr>
        <w:t>show that switchers increased their R&amp;D expenditures more than firms that continued to capitalize.</w:t>
      </w:r>
      <w:r w:rsidR="00537433">
        <w:rPr>
          <w:rFonts w:ascii="Times New Roman" w:hAnsi="Times New Roman" w:cs="Times New Roman"/>
          <w:sz w:val="24"/>
          <w:szCs w:val="24"/>
        </w:rPr>
        <w:t xml:space="preserve"> </w:t>
      </w:r>
      <w:r w:rsidR="001D7B0D">
        <w:rPr>
          <w:rFonts w:ascii="Times New Roman" w:hAnsi="Times New Roman" w:cs="Times New Roman"/>
          <w:sz w:val="24"/>
          <w:szCs w:val="24"/>
        </w:rPr>
        <w:t>Thus, t</w:t>
      </w:r>
      <w:r w:rsidR="00537433">
        <w:rPr>
          <w:rFonts w:ascii="Times New Roman" w:hAnsi="Times New Roman" w:cs="Times New Roman"/>
          <w:sz w:val="24"/>
          <w:szCs w:val="24"/>
        </w:rPr>
        <w:t>he accounting method</w:t>
      </w:r>
      <w:r w:rsidR="001D7B0D">
        <w:rPr>
          <w:rFonts w:ascii="Times New Roman" w:hAnsi="Times New Roman" w:cs="Times New Roman"/>
          <w:sz w:val="24"/>
          <w:szCs w:val="24"/>
        </w:rPr>
        <w:t xml:space="preserve"> </w:t>
      </w:r>
      <w:r w:rsidR="00537433">
        <w:rPr>
          <w:rFonts w:ascii="Times New Roman" w:hAnsi="Times New Roman" w:cs="Times New Roman"/>
          <w:sz w:val="24"/>
          <w:szCs w:val="24"/>
        </w:rPr>
        <w:t>affect</w:t>
      </w:r>
      <w:r w:rsidR="001D7B0D">
        <w:rPr>
          <w:rFonts w:ascii="Times New Roman" w:hAnsi="Times New Roman" w:cs="Times New Roman"/>
          <w:sz w:val="24"/>
          <w:szCs w:val="24"/>
        </w:rPr>
        <w:t>s</w:t>
      </w:r>
      <w:r w:rsidR="00537433">
        <w:rPr>
          <w:rFonts w:ascii="Times New Roman" w:hAnsi="Times New Roman" w:cs="Times New Roman"/>
          <w:sz w:val="24"/>
          <w:szCs w:val="24"/>
        </w:rPr>
        <w:t xml:space="preserve"> firm</w:t>
      </w:r>
      <w:r w:rsidR="001D7B0D">
        <w:rPr>
          <w:rFonts w:ascii="Times New Roman" w:hAnsi="Times New Roman" w:cs="Times New Roman"/>
          <w:sz w:val="24"/>
          <w:szCs w:val="24"/>
        </w:rPr>
        <w:t>s’ R&amp;D investments.</w:t>
      </w:r>
      <w:r w:rsidR="00537433">
        <w:rPr>
          <w:rFonts w:ascii="Times New Roman" w:hAnsi="Times New Roman" w:cs="Times New Roman"/>
          <w:sz w:val="24"/>
          <w:szCs w:val="24"/>
        </w:rPr>
        <w:t xml:space="preserve"> Our results attest to the importance of capitalization vs expensing in determining firms’ R&amp;D expenditures, and thus to the real effects of accounting policies.</w:t>
      </w:r>
      <w:r w:rsidR="00225D37">
        <w:rPr>
          <w:rStyle w:val="FootnoteReference"/>
          <w:rFonts w:ascii="Times New Roman" w:hAnsi="Times New Roman" w:cs="Times New Roman"/>
          <w:sz w:val="24"/>
          <w:szCs w:val="24"/>
        </w:rPr>
        <w:footnoteReference w:id="22"/>
      </w:r>
      <w:r w:rsidR="00537433">
        <w:rPr>
          <w:rFonts w:ascii="Times New Roman" w:hAnsi="Times New Roman" w:cs="Times New Roman"/>
          <w:sz w:val="24"/>
          <w:szCs w:val="24"/>
        </w:rPr>
        <w:t xml:space="preserve"> </w:t>
      </w:r>
    </w:p>
    <w:p w14:paraId="4B9DFB6D" w14:textId="77777777" w:rsidR="005109A1" w:rsidRDefault="005109A1" w:rsidP="006B09D3">
      <w:pPr>
        <w:spacing w:after="0" w:line="480" w:lineRule="auto"/>
        <w:jc w:val="both"/>
        <w:rPr>
          <w:rFonts w:ascii="Times New Roman" w:hAnsi="Times New Roman" w:cs="Times New Roman"/>
          <w:sz w:val="24"/>
          <w:szCs w:val="24"/>
        </w:rPr>
      </w:pPr>
    </w:p>
    <w:p w14:paraId="3C2BBB74" w14:textId="7966DDFC" w:rsidR="00772F61" w:rsidRPr="00086F42" w:rsidRDefault="00086F42" w:rsidP="00086F42">
      <w:pPr>
        <w:pStyle w:val="ListParagraph"/>
        <w:numPr>
          <w:ilvl w:val="0"/>
          <w:numId w:val="15"/>
        </w:numPr>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The </w:t>
      </w:r>
      <w:r w:rsidR="00772F61" w:rsidRPr="00086F42">
        <w:rPr>
          <w:rFonts w:ascii="Times New Roman" w:hAnsi="Times New Roman" w:cs="Times New Roman"/>
          <w:b/>
          <w:sz w:val="24"/>
          <w:szCs w:val="24"/>
        </w:rPr>
        <w:t xml:space="preserve">Mechanism - </w:t>
      </w:r>
      <w:r w:rsidR="00CF33B1" w:rsidRPr="00086F42">
        <w:rPr>
          <w:rFonts w:ascii="Times New Roman" w:hAnsi="Times New Roman" w:cs="Times New Roman"/>
          <w:b/>
          <w:sz w:val="24"/>
          <w:szCs w:val="24"/>
        </w:rPr>
        <w:t>Why</w:t>
      </w:r>
      <w:r w:rsidR="00772F61" w:rsidRPr="00086F42">
        <w:rPr>
          <w:rFonts w:ascii="Times New Roman" w:hAnsi="Times New Roman" w:cs="Times New Roman"/>
          <w:b/>
          <w:sz w:val="24"/>
          <w:szCs w:val="24"/>
        </w:rPr>
        <w:t xml:space="preserve"> </w:t>
      </w:r>
      <w:r w:rsidR="00B30060" w:rsidRPr="00086F42">
        <w:rPr>
          <w:rFonts w:ascii="Times New Roman" w:hAnsi="Times New Roman" w:cs="Times New Roman"/>
          <w:b/>
          <w:sz w:val="24"/>
          <w:szCs w:val="24"/>
        </w:rPr>
        <w:t>the Switch to Capitalization Increased R&amp;D</w:t>
      </w:r>
      <w:r w:rsidR="007F6C8D" w:rsidRPr="00086F42">
        <w:rPr>
          <w:rFonts w:ascii="Times New Roman" w:hAnsi="Times New Roman" w:cs="Times New Roman"/>
          <w:b/>
          <w:sz w:val="24"/>
          <w:szCs w:val="24"/>
        </w:rPr>
        <w:t xml:space="preserve"> Expenditures</w:t>
      </w:r>
    </w:p>
    <w:p w14:paraId="2F57625F" w14:textId="17ECF2A8" w:rsidR="00B30060" w:rsidRDefault="00CF33B1" w:rsidP="000E79F8">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To understand why</w:t>
      </w:r>
      <w:r w:rsidR="00772F61">
        <w:rPr>
          <w:rFonts w:ascii="Times New Roman" w:hAnsi="Times New Roman" w:cs="Times New Roman"/>
          <w:sz w:val="24"/>
          <w:szCs w:val="24"/>
        </w:rPr>
        <w:t xml:space="preserve"> </w:t>
      </w:r>
      <w:r w:rsidR="003D3E78">
        <w:rPr>
          <w:rFonts w:ascii="Times New Roman" w:hAnsi="Times New Roman" w:cs="Times New Roman"/>
          <w:sz w:val="24"/>
          <w:szCs w:val="24"/>
        </w:rPr>
        <w:t xml:space="preserve">the switch to </w:t>
      </w:r>
      <w:r w:rsidR="00772F61">
        <w:rPr>
          <w:rFonts w:ascii="Times New Roman" w:hAnsi="Times New Roman" w:cs="Times New Roman"/>
          <w:sz w:val="24"/>
          <w:szCs w:val="24"/>
        </w:rPr>
        <w:t xml:space="preserve">capitalization </w:t>
      </w:r>
      <w:r w:rsidR="003D3E78">
        <w:rPr>
          <w:rFonts w:ascii="Times New Roman" w:hAnsi="Times New Roman" w:cs="Times New Roman"/>
          <w:sz w:val="24"/>
          <w:szCs w:val="24"/>
        </w:rPr>
        <w:t xml:space="preserve">increased </w:t>
      </w:r>
      <w:r w:rsidR="00772F61">
        <w:rPr>
          <w:rFonts w:ascii="Times New Roman" w:hAnsi="Times New Roman" w:cs="Times New Roman"/>
          <w:sz w:val="24"/>
          <w:szCs w:val="24"/>
        </w:rPr>
        <w:t xml:space="preserve">R&amp;D expenditures, we investigated a </w:t>
      </w:r>
      <w:r w:rsidR="00E13A3C">
        <w:rPr>
          <w:rFonts w:ascii="Times New Roman" w:hAnsi="Times New Roman" w:cs="Times New Roman"/>
          <w:sz w:val="24"/>
          <w:szCs w:val="24"/>
        </w:rPr>
        <w:t>numbe</w:t>
      </w:r>
      <w:r w:rsidR="00C466B2">
        <w:rPr>
          <w:rFonts w:ascii="Times New Roman" w:hAnsi="Times New Roman" w:cs="Times New Roman"/>
          <w:sz w:val="24"/>
          <w:szCs w:val="24"/>
        </w:rPr>
        <w:t xml:space="preserve">r of mechanisms </w:t>
      </w:r>
      <w:r w:rsidR="00A314D2">
        <w:rPr>
          <w:rFonts w:ascii="Times New Roman" w:hAnsi="Times New Roman" w:cs="Times New Roman"/>
          <w:sz w:val="24"/>
          <w:szCs w:val="24"/>
        </w:rPr>
        <w:t>discussed by</w:t>
      </w:r>
      <w:r w:rsidR="00E13A3C">
        <w:rPr>
          <w:rFonts w:ascii="Times New Roman" w:hAnsi="Times New Roman" w:cs="Times New Roman"/>
          <w:sz w:val="24"/>
          <w:szCs w:val="24"/>
        </w:rPr>
        <w:t xml:space="preserve"> Roychowdhury et al</w:t>
      </w:r>
      <w:r w:rsidR="00AB2A82">
        <w:rPr>
          <w:rFonts w:ascii="Times New Roman" w:hAnsi="Times New Roman" w:cs="Times New Roman"/>
          <w:sz w:val="24"/>
          <w:szCs w:val="24"/>
        </w:rPr>
        <w:t>.</w:t>
      </w:r>
      <w:r w:rsidR="00E13A3C">
        <w:rPr>
          <w:rFonts w:ascii="Times New Roman" w:hAnsi="Times New Roman" w:cs="Times New Roman"/>
          <w:sz w:val="24"/>
          <w:szCs w:val="24"/>
        </w:rPr>
        <w:t xml:space="preserve"> (2019). </w:t>
      </w:r>
      <w:r w:rsidR="00E129F7">
        <w:rPr>
          <w:rFonts w:ascii="Times New Roman" w:hAnsi="Times New Roman" w:cs="Times New Roman"/>
          <w:sz w:val="24"/>
          <w:szCs w:val="24"/>
        </w:rPr>
        <w:t>First, t</w:t>
      </w:r>
      <w:r w:rsidR="00E13A3C">
        <w:rPr>
          <w:rFonts w:ascii="Times New Roman" w:hAnsi="Times New Roman" w:cs="Times New Roman"/>
          <w:sz w:val="24"/>
          <w:szCs w:val="24"/>
        </w:rPr>
        <w:t xml:space="preserve">he use of accounting income in contracts and/or for valuation can lead to moral hazard by motivating managers to achieve financial reporting benchmarks, which could affect investment. </w:t>
      </w:r>
      <w:r w:rsidR="00853C05">
        <w:rPr>
          <w:rFonts w:ascii="Times New Roman" w:hAnsi="Times New Roman" w:cs="Times New Roman"/>
          <w:sz w:val="24"/>
          <w:szCs w:val="24"/>
        </w:rPr>
        <w:t xml:space="preserve">For example, since compensation contracts and covenants are based on reported income, </w:t>
      </w:r>
      <w:r w:rsidR="00E13A3C">
        <w:rPr>
          <w:rFonts w:ascii="Times New Roman" w:hAnsi="Times New Roman" w:cs="Times New Roman"/>
          <w:sz w:val="24"/>
          <w:szCs w:val="24"/>
        </w:rPr>
        <w:t>firms may</w:t>
      </w:r>
      <w:r w:rsidR="00853C05">
        <w:rPr>
          <w:rFonts w:ascii="Times New Roman" w:hAnsi="Times New Roman" w:cs="Times New Roman"/>
          <w:sz w:val="24"/>
          <w:szCs w:val="24"/>
        </w:rPr>
        <w:t xml:space="preserve"> spend les</w:t>
      </w:r>
      <w:r w:rsidR="00E13A3C">
        <w:rPr>
          <w:rFonts w:ascii="Times New Roman" w:hAnsi="Times New Roman" w:cs="Times New Roman"/>
          <w:sz w:val="24"/>
          <w:szCs w:val="24"/>
        </w:rPr>
        <w:t>s under expensing</w:t>
      </w:r>
      <w:r w:rsidR="00853C05">
        <w:rPr>
          <w:rFonts w:ascii="Times New Roman" w:hAnsi="Times New Roman" w:cs="Times New Roman"/>
          <w:sz w:val="24"/>
          <w:szCs w:val="24"/>
        </w:rPr>
        <w:t>.</w:t>
      </w:r>
      <w:r w:rsidR="00E13A3C">
        <w:rPr>
          <w:rFonts w:ascii="Times New Roman" w:hAnsi="Times New Roman" w:cs="Times New Roman"/>
          <w:sz w:val="24"/>
          <w:szCs w:val="24"/>
        </w:rPr>
        <w:t xml:space="preserve"> Similarly, </w:t>
      </w:r>
      <w:r w:rsidR="003D3E78">
        <w:rPr>
          <w:rFonts w:ascii="Times New Roman" w:hAnsi="Times New Roman" w:cs="Times New Roman"/>
          <w:sz w:val="24"/>
          <w:szCs w:val="24"/>
        </w:rPr>
        <w:t xml:space="preserve">managers may focus on earnings </w:t>
      </w:r>
      <w:r w:rsidR="00E13A3C">
        <w:rPr>
          <w:rFonts w:ascii="Times New Roman" w:hAnsi="Times New Roman" w:cs="Times New Roman"/>
          <w:sz w:val="24"/>
          <w:szCs w:val="24"/>
        </w:rPr>
        <w:t xml:space="preserve">if investors fixate on reported </w:t>
      </w:r>
      <w:r w:rsidR="003D3E78">
        <w:rPr>
          <w:rFonts w:ascii="Times New Roman" w:hAnsi="Times New Roman" w:cs="Times New Roman"/>
          <w:sz w:val="24"/>
          <w:szCs w:val="24"/>
        </w:rPr>
        <w:t>numbers</w:t>
      </w:r>
      <w:r w:rsidR="009B33FA">
        <w:rPr>
          <w:rFonts w:ascii="Times New Roman" w:hAnsi="Times New Roman" w:cs="Times New Roman"/>
          <w:sz w:val="24"/>
          <w:szCs w:val="24"/>
        </w:rPr>
        <w:t xml:space="preserve"> (Stein</w:t>
      </w:r>
      <w:r w:rsidR="00F12C9F">
        <w:rPr>
          <w:rFonts w:ascii="Times New Roman" w:hAnsi="Times New Roman" w:cs="Times New Roman"/>
          <w:sz w:val="24"/>
          <w:szCs w:val="24"/>
        </w:rPr>
        <w:t>,</w:t>
      </w:r>
      <w:r w:rsidR="009B33FA">
        <w:rPr>
          <w:rFonts w:ascii="Times New Roman" w:hAnsi="Times New Roman" w:cs="Times New Roman"/>
          <w:sz w:val="24"/>
          <w:szCs w:val="24"/>
        </w:rPr>
        <w:t xml:space="preserve"> 1989)</w:t>
      </w:r>
      <w:r w:rsidR="003D3E78">
        <w:rPr>
          <w:rFonts w:ascii="Times New Roman" w:hAnsi="Times New Roman" w:cs="Times New Roman"/>
          <w:sz w:val="24"/>
          <w:szCs w:val="24"/>
        </w:rPr>
        <w:t xml:space="preserve">, which would also cause them to spend less under expensing. </w:t>
      </w:r>
      <w:r w:rsidR="00894257">
        <w:rPr>
          <w:rFonts w:ascii="Times New Roman" w:hAnsi="Times New Roman" w:cs="Times New Roman"/>
          <w:sz w:val="24"/>
          <w:szCs w:val="24"/>
        </w:rPr>
        <w:t xml:space="preserve">We refer to this as the “profitability </w:t>
      </w:r>
      <w:r w:rsidR="003D3E78">
        <w:rPr>
          <w:rFonts w:ascii="Times New Roman" w:hAnsi="Times New Roman" w:cs="Times New Roman"/>
          <w:sz w:val="24"/>
          <w:szCs w:val="24"/>
        </w:rPr>
        <w:t xml:space="preserve">channel”. </w:t>
      </w:r>
      <w:r w:rsidR="00E129F7">
        <w:rPr>
          <w:rFonts w:ascii="Times New Roman" w:hAnsi="Times New Roman" w:cs="Times New Roman"/>
          <w:sz w:val="24"/>
          <w:szCs w:val="24"/>
        </w:rPr>
        <w:t xml:space="preserve">Second, </w:t>
      </w:r>
      <w:r w:rsidR="003D3E78">
        <w:rPr>
          <w:rFonts w:ascii="Times New Roman" w:hAnsi="Times New Roman" w:cs="Times New Roman"/>
          <w:sz w:val="24"/>
          <w:szCs w:val="24"/>
        </w:rPr>
        <w:t xml:space="preserve">capitalization can </w:t>
      </w:r>
      <w:r w:rsidR="006E326E">
        <w:rPr>
          <w:rFonts w:ascii="Times New Roman" w:hAnsi="Times New Roman" w:cs="Times New Roman"/>
          <w:sz w:val="24"/>
          <w:szCs w:val="24"/>
        </w:rPr>
        <w:t xml:space="preserve">reduce adverse selection by reducing </w:t>
      </w:r>
      <w:r w:rsidR="003D3E78">
        <w:rPr>
          <w:rFonts w:ascii="Times New Roman" w:hAnsi="Times New Roman" w:cs="Times New Roman"/>
          <w:sz w:val="24"/>
          <w:szCs w:val="24"/>
        </w:rPr>
        <w:t>information asymmetry between the firm and the market, by disclosing more information (percentage of costs capitalized, amortization life, etc.). This would lower a firm’s cost of capital, resulting in increased investment. We refer to this as the “</w:t>
      </w:r>
      <w:r w:rsidR="00E129F7">
        <w:rPr>
          <w:rFonts w:ascii="Times New Roman" w:hAnsi="Times New Roman" w:cs="Times New Roman"/>
          <w:sz w:val="24"/>
          <w:szCs w:val="24"/>
        </w:rPr>
        <w:t xml:space="preserve">external </w:t>
      </w:r>
      <w:r w:rsidR="003D3E78">
        <w:rPr>
          <w:rFonts w:ascii="Times New Roman" w:hAnsi="Times New Roman" w:cs="Times New Roman"/>
          <w:sz w:val="24"/>
          <w:szCs w:val="24"/>
        </w:rPr>
        <w:t>information channel”.</w:t>
      </w:r>
      <w:r w:rsidR="003D3E78">
        <w:rPr>
          <w:rStyle w:val="FootnoteReference"/>
          <w:rFonts w:ascii="Times New Roman" w:hAnsi="Times New Roman" w:cs="Times New Roman"/>
          <w:sz w:val="24"/>
          <w:szCs w:val="24"/>
        </w:rPr>
        <w:footnoteReference w:id="23"/>
      </w:r>
      <w:r w:rsidR="00275CAC">
        <w:rPr>
          <w:rFonts w:ascii="Times New Roman" w:hAnsi="Times New Roman" w:cs="Times New Roman"/>
          <w:sz w:val="24"/>
          <w:szCs w:val="24"/>
        </w:rPr>
        <w:t xml:space="preserve"> </w:t>
      </w:r>
      <w:r w:rsidR="00B472CC">
        <w:rPr>
          <w:rFonts w:ascii="Times New Roman" w:hAnsi="Times New Roman" w:cs="Times New Roman"/>
          <w:sz w:val="24"/>
          <w:szCs w:val="24"/>
        </w:rPr>
        <w:t xml:space="preserve">Finally, </w:t>
      </w:r>
      <w:r w:rsidR="00853C05">
        <w:rPr>
          <w:rFonts w:ascii="Times New Roman" w:hAnsi="Times New Roman" w:cs="Times New Roman"/>
          <w:sz w:val="24"/>
          <w:szCs w:val="24"/>
        </w:rPr>
        <w:t xml:space="preserve">a new accounting method may reveal </w:t>
      </w:r>
      <w:r w:rsidR="00C466B2">
        <w:rPr>
          <w:rFonts w:ascii="Times New Roman" w:hAnsi="Times New Roman" w:cs="Times New Roman"/>
          <w:sz w:val="24"/>
          <w:szCs w:val="24"/>
        </w:rPr>
        <w:t xml:space="preserve">new </w:t>
      </w:r>
      <w:r w:rsidR="00853C05">
        <w:rPr>
          <w:rFonts w:ascii="Times New Roman" w:hAnsi="Times New Roman" w:cs="Times New Roman"/>
          <w:sz w:val="24"/>
          <w:szCs w:val="24"/>
        </w:rPr>
        <w:t>information</w:t>
      </w:r>
      <w:r w:rsidR="00C466B2">
        <w:rPr>
          <w:rFonts w:ascii="Times New Roman" w:hAnsi="Times New Roman" w:cs="Times New Roman"/>
          <w:sz w:val="24"/>
          <w:szCs w:val="24"/>
        </w:rPr>
        <w:t xml:space="preserve"> to the firm</w:t>
      </w:r>
      <w:r w:rsidR="00853C05">
        <w:rPr>
          <w:rFonts w:ascii="Times New Roman" w:hAnsi="Times New Roman" w:cs="Times New Roman"/>
          <w:sz w:val="24"/>
          <w:szCs w:val="24"/>
        </w:rPr>
        <w:t>, thereby causing the firm to learn and improve its investment efficiency</w:t>
      </w:r>
      <w:r w:rsidR="00C252A3">
        <w:rPr>
          <w:rFonts w:ascii="Times New Roman" w:hAnsi="Times New Roman" w:cs="Times New Roman"/>
          <w:sz w:val="24"/>
          <w:szCs w:val="24"/>
        </w:rPr>
        <w:t xml:space="preserve">. We refer to this as </w:t>
      </w:r>
      <w:r w:rsidR="00853C05">
        <w:rPr>
          <w:rFonts w:ascii="Times New Roman" w:hAnsi="Times New Roman" w:cs="Times New Roman"/>
          <w:sz w:val="24"/>
          <w:szCs w:val="24"/>
        </w:rPr>
        <w:t>the “</w:t>
      </w:r>
      <w:r w:rsidR="00E129F7">
        <w:rPr>
          <w:rFonts w:ascii="Times New Roman" w:hAnsi="Times New Roman" w:cs="Times New Roman"/>
          <w:sz w:val="24"/>
          <w:szCs w:val="24"/>
        </w:rPr>
        <w:t xml:space="preserve">internal </w:t>
      </w:r>
      <w:r w:rsidR="00853C05">
        <w:rPr>
          <w:rFonts w:ascii="Times New Roman" w:hAnsi="Times New Roman" w:cs="Times New Roman"/>
          <w:sz w:val="24"/>
          <w:szCs w:val="24"/>
        </w:rPr>
        <w:t>learning channel”.</w:t>
      </w:r>
      <w:r w:rsidR="00C252A3">
        <w:rPr>
          <w:rStyle w:val="FootnoteReference"/>
          <w:rFonts w:ascii="Times New Roman" w:hAnsi="Times New Roman" w:cs="Times New Roman"/>
          <w:sz w:val="24"/>
          <w:szCs w:val="24"/>
        </w:rPr>
        <w:footnoteReference w:id="24"/>
      </w:r>
      <w:r w:rsidR="003E412F">
        <w:rPr>
          <w:rFonts w:ascii="Times New Roman" w:hAnsi="Times New Roman" w:cs="Times New Roman"/>
          <w:sz w:val="24"/>
          <w:szCs w:val="24"/>
        </w:rPr>
        <w:t xml:space="preserve"> </w:t>
      </w:r>
    </w:p>
    <w:p w14:paraId="385040CA" w14:textId="5C2D06E7" w:rsidR="00A314D2" w:rsidRDefault="003E412F" w:rsidP="00AB2A82">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It is important to point out</w:t>
      </w:r>
      <w:r w:rsidR="009B33FA">
        <w:rPr>
          <w:rFonts w:ascii="Times New Roman" w:hAnsi="Times New Roman" w:cs="Times New Roman"/>
          <w:sz w:val="24"/>
          <w:szCs w:val="24"/>
        </w:rPr>
        <w:t xml:space="preserve"> that these hypothesized mechanisms are consistent with switchers’ motivation to expense under UK GAAP</w:t>
      </w:r>
      <w:r>
        <w:rPr>
          <w:rFonts w:ascii="Times New Roman" w:hAnsi="Times New Roman" w:cs="Times New Roman"/>
          <w:sz w:val="24"/>
          <w:szCs w:val="24"/>
        </w:rPr>
        <w:t xml:space="preserve"> discussed in Section 5</w:t>
      </w:r>
      <w:r w:rsidR="009B33FA">
        <w:rPr>
          <w:rFonts w:ascii="Times New Roman" w:hAnsi="Times New Roman" w:cs="Times New Roman"/>
          <w:sz w:val="24"/>
          <w:szCs w:val="24"/>
        </w:rPr>
        <w:t>. For example, if they expensed to signal financial strength</w:t>
      </w:r>
      <w:r>
        <w:rPr>
          <w:rFonts w:ascii="Times New Roman" w:hAnsi="Times New Roman" w:cs="Times New Roman"/>
          <w:sz w:val="24"/>
          <w:szCs w:val="24"/>
        </w:rPr>
        <w:t xml:space="preserve"> even at the cost of foregone positive NPV investments, mandatory capitalization removed the negative signal of voluntary capitalization</w:t>
      </w:r>
      <w:r w:rsidR="009B33FA">
        <w:rPr>
          <w:rFonts w:ascii="Times New Roman" w:hAnsi="Times New Roman" w:cs="Times New Roman"/>
          <w:sz w:val="24"/>
          <w:szCs w:val="24"/>
        </w:rPr>
        <w:t xml:space="preserve">, </w:t>
      </w:r>
      <w:r>
        <w:rPr>
          <w:rFonts w:ascii="Times New Roman" w:hAnsi="Times New Roman" w:cs="Times New Roman"/>
          <w:sz w:val="24"/>
          <w:szCs w:val="24"/>
        </w:rPr>
        <w:t>enabling them to increase their R&amp;D expenditures. If they expensed to avoid disclosure</w:t>
      </w:r>
      <w:r w:rsidR="00BB0A11">
        <w:rPr>
          <w:rFonts w:ascii="Times New Roman" w:hAnsi="Times New Roman" w:cs="Times New Roman"/>
          <w:sz w:val="24"/>
          <w:szCs w:val="24"/>
        </w:rPr>
        <w:t xml:space="preserve"> of proprietary information, </w:t>
      </w:r>
      <w:r>
        <w:rPr>
          <w:rFonts w:ascii="Times New Roman" w:hAnsi="Times New Roman" w:cs="Times New Roman"/>
          <w:sz w:val="24"/>
          <w:szCs w:val="24"/>
        </w:rPr>
        <w:t>the new information revealed to the market can lower adverse selection costs</w:t>
      </w:r>
      <w:r w:rsidR="00BB0A11">
        <w:rPr>
          <w:rFonts w:ascii="Times New Roman" w:hAnsi="Times New Roman" w:cs="Times New Roman"/>
          <w:sz w:val="24"/>
          <w:szCs w:val="24"/>
        </w:rPr>
        <w:t>, again leading to increased R&amp;D expenditures</w:t>
      </w:r>
      <w:r>
        <w:rPr>
          <w:rFonts w:ascii="Times New Roman" w:hAnsi="Times New Roman" w:cs="Times New Roman"/>
          <w:sz w:val="24"/>
          <w:szCs w:val="24"/>
        </w:rPr>
        <w:t xml:space="preserve">. </w:t>
      </w:r>
      <w:r w:rsidR="00E129F7">
        <w:rPr>
          <w:rFonts w:ascii="Times New Roman" w:hAnsi="Times New Roman" w:cs="Times New Roman"/>
          <w:sz w:val="24"/>
          <w:szCs w:val="24"/>
        </w:rPr>
        <w:t xml:space="preserve">By </w:t>
      </w:r>
      <w:r w:rsidR="00AB3362">
        <w:rPr>
          <w:rFonts w:ascii="Times New Roman" w:hAnsi="Times New Roman" w:cs="Times New Roman"/>
          <w:sz w:val="24"/>
          <w:szCs w:val="24"/>
        </w:rPr>
        <w:t xml:space="preserve">investigating </w:t>
      </w:r>
      <w:r w:rsidR="00CF33B1">
        <w:rPr>
          <w:rFonts w:ascii="Times New Roman" w:hAnsi="Times New Roman" w:cs="Times New Roman"/>
          <w:sz w:val="24"/>
          <w:szCs w:val="24"/>
        </w:rPr>
        <w:t xml:space="preserve">these three </w:t>
      </w:r>
      <w:r w:rsidR="0071791E">
        <w:rPr>
          <w:rFonts w:ascii="Times New Roman" w:hAnsi="Times New Roman" w:cs="Times New Roman"/>
          <w:sz w:val="24"/>
          <w:szCs w:val="24"/>
        </w:rPr>
        <w:t>channels, w</w:t>
      </w:r>
      <w:r w:rsidR="00853C05">
        <w:rPr>
          <w:rFonts w:ascii="Times New Roman" w:hAnsi="Times New Roman" w:cs="Times New Roman"/>
          <w:sz w:val="24"/>
          <w:szCs w:val="24"/>
        </w:rPr>
        <w:t xml:space="preserve">e </w:t>
      </w:r>
      <w:r w:rsidR="00526A55">
        <w:rPr>
          <w:rFonts w:ascii="Times New Roman" w:hAnsi="Times New Roman" w:cs="Times New Roman"/>
          <w:sz w:val="24"/>
          <w:szCs w:val="24"/>
        </w:rPr>
        <w:t xml:space="preserve">follow recent papers </w:t>
      </w:r>
      <w:r w:rsidR="0053388D">
        <w:rPr>
          <w:rFonts w:ascii="Times New Roman" w:hAnsi="Times New Roman" w:cs="Times New Roman"/>
          <w:sz w:val="24"/>
          <w:szCs w:val="24"/>
        </w:rPr>
        <w:t xml:space="preserve">such as Biddle, Hillary, and Verdi (2009), Shroff (2017), and </w:t>
      </w:r>
      <w:r w:rsidR="00C503E3">
        <w:rPr>
          <w:rFonts w:ascii="Times New Roman" w:hAnsi="Times New Roman" w:cs="Times New Roman"/>
          <w:sz w:val="24"/>
          <w:szCs w:val="24"/>
        </w:rPr>
        <w:t xml:space="preserve">Kajuter, Klassman, and Nienhaus (2019) that </w:t>
      </w:r>
      <w:r w:rsidR="00DB056B">
        <w:rPr>
          <w:rFonts w:ascii="Times New Roman" w:hAnsi="Times New Roman" w:cs="Times New Roman"/>
          <w:sz w:val="24"/>
          <w:szCs w:val="24"/>
        </w:rPr>
        <w:t xml:space="preserve">investigate multiple </w:t>
      </w:r>
      <w:r w:rsidR="00AB3362">
        <w:rPr>
          <w:rFonts w:ascii="Times New Roman" w:hAnsi="Times New Roman" w:cs="Times New Roman"/>
          <w:sz w:val="24"/>
          <w:szCs w:val="24"/>
        </w:rPr>
        <w:t xml:space="preserve">mechanisms, in an attempt to </w:t>
      </w:r>
      <w:r w:rsidR="00675204">
        <w:rPr>
          <w:rFonts w:ascii="Times New Roman" w:hAnsi="Times New Roman" w:cs="Times New Roman"/>
          <w:sz w:val="24"/>
          <w:szCs w:val="24"/>
        </w:rPr>
        <w:t>understand</w:t>
      </w:r>
      <w:r w:rsidR="00AB3362">
        <w:rPr>
          <w:rFonts w:ascii="Times New Roman" w:hAnsi="Times New Roman" w:cs="Times New Roman"/>
          <w:sz w:val="24"/>
          <w:szCs w:val="24"/>
        </w:rPr>
        <w:t xml:space="preserve"> the way(s) that account</w:t>
      </w:r>
      <w:r w:rsidR="00C90AFB">
        <w:rPr>
          <w:rFonts w:ascii="Times New Roman" w:hAnsi="Times New Roman" w:cs="Times New Roman"/>
          <w:sz w:val="24"/>
          <w:szCs w:val="24"/>
        </w:rPr>
        <w:t>ing</w:t>
      </w:r>
      <w:r w:rsidR="00AB3362">
        <w:rPr>
          <w:rFonts w:ascii="Times New Roman" w:hAnsi="Times New Roman" w:cs="Times New Roman"/>
          <w:sz w:val="24"/>
          <w:szCs w:val="24"/>
        </w:rPr>
        <w:t xml:space="preserve"> information affects investment. </w:t>
      </w:r>
      <w:r w:rsidR="00DB056B">
        <w:rPr>
          <w:rFonts w:ascii="Times New Roman" w:hAnsi="Times New Roman" w:cs="Times New Roman"/>
          <w:sz w:val="24"/>
          <w:szCs w:val="24"/>
        </w:rPr>
        <w:t xml:space="preserve"> </w:t>
      </w:r>
    </w:p>
    <w:p w14:paraId="6792B8D9" w14:textId="139ADEA9" w:rsidR="00772F61" w:rsidRPr="001D4AC5" w:rsidRDefault="00DB056B" w:rsidP="007E0B43">
      <w:pPr>
        <w:spacing w:after="0"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AB3362">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B26C6FC" w14:textId="258731D9" w:rsidR="005F310C" w:rsidRPr="00853C05" w:rsidRDefault="005F310C" w:rsidP="007E0B43">
      <w:pPr>
        <w:spacing w:after="0" w:line="480" w:lineRule="auto"/>
        <w:rPr>
          <w:rFonts w:ascii="Times New Roman" w:hAnsi="Times New Roman" w:cs="Times New Roman"/>
          <w:i/>
          <w:sz w:val="24"/>
          <w:szCs w:val="24"/>
        </w:rPr>
      </w:pPr>
      <w:r w:rsidRPr="00853C05">
        <w:rPr>
          <w:rFonts w:ascii="Times New Roman" w:hAnsi="Times New Roman" w:cs="Times New Roman"/>
          <w:i/>
          <w:sz w:val="24"/>
          <w:szCs w:val="24"/>
        </w:rPr>
        <w:t xml:space="preserve">7.1 </w:t>
      </w:r>
      <w:r w:rsidR="00894257">
        <w:rPr>
          <w:rFonts w:ascii="Times New Roman" w:hAnsi="Times New Roman" w:cs="Times New Roman"/>
          <w:i/>
          <w:sz w:val="24"/>
          <w:szCs w:val="24"/>
        </w:rPr>
        <w:t xml:space="preserve">Profitability </w:t>
      </w:r>
      <w:r w:rsidRPr="00853C05">
        <w:rPr>
          <w:rFonts w:ascii="Times New Roman" w:hAnsi="Times New Roman" w:cs="Times New Roman"/>
          <w:i/>
          <w:sz w:val="24"/>
          <w:szCs w:val="24"/>
        </w:rPr>
        <w:t>Channel</w:t>
      </w:r>
    </w:p>
    <w:p w14:paraId="330A3151" w14:textId="190AA6A3" w:rsidR="00860733" w:rsidRDefault="004E1190" w:rsidP="00312EED">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order for capitalization to affect investment, contracts must focus on reported income, and not adjust out the effects of the accounting change. </w:t>
      </w:r>
      <w:r w:rsidR="00772F61">
        <w:rPr>
          <w:rFonts w:ascii="Times New Roman" w:hAnsi="Times New Roman" w:cs="Times New Roman"/>
          <w:sz w:val="24"/>
          <w:szCs w:val="24"/>
        </w:rPr>
        <w:t xml:space="preserve">To provide evidence on this mechanism, we examined </w:t>
      </w:r>
      <w:r w:rsidR="00CD7E4E">
        <w:rPr>
          <w:rFonts w:ascii="Times New Roman" w:hAnsi="Times New Roman" w:cs="Times New Roman"/>
          <w:sz w:val="24"/>
          <w:szCs w:val="24"/>
        </w:rPr>
        <w:t xml:space="preserve">all </w:t>
      </w:r>
      <w:r w:rsidR="009A0A5A">
        <w:rPr>
          <w:rFonts w:ascii="Times New Roman" w:hAnsi="Times New Roman" w:cs="Times New Roman"/>
          <w:sz w:val="24"/>
          <w:szCs w:val="24"/>
        </w:rPr>
        <w:t xml:space="preserve">switcher </w:t>
      </w:r>
      <w:r w:rsidR="00772F61">
        <w:rPr>
          <w:rFonts w:ascii="Times New Roman" w:hAnsi="Times New Roman" w:cs="Times New Roman"/>
          <w:sz w:val="24"/>
          <w:szCs w:val="24"/>
        </w:rPr>
        <w:t>firms’ remuneration reports</w:t>
      </w:r>
      <w:r w:rsidR="007739B2">
        <w:rPr>
          <w:rFonts w:ascii="Times New Roman" w:hAnsi="Times New Roman" w:cs="Times New Roman"/>
          <w:sz w:val="24"/>
          <w:szCs w:val="24"/>
        </w:rPr>
        <w:t xml:space="preserve"> </w:t>
      </w:r>
      <w:r w:rsidR="00EF1CD0">
        <w:rPr>
          <w:rFonts w:asciiTheme="majorBidi" w:hAnsiTheme="majorBidi" w:cstheme="majorBidi"/>
          <w:sz w:val="24"/>
          <w:szCs w:val="24"/>
        </w:rPr>
        <w:t xml:space="preserve">in the last year of UK GAAP and the first year of IFRS. These reports </w:t>
      </w:r>
      <w:r w:rsidR="00772F61">
        <w:rPr>
          <w:rFonts w:ascii="Times New Roman" w:hAnsi="Times New Roman" w:cs="Times New Roman"/>
          <w:sz w:val="24"/>
          <w:szCs w:val="24"/>
        </w:rPr>
        <w:t xml:space="preserve">are contained in the annual report and provide information on firms’ executive compensation plans, usually including a discussion of </w:t>
      </w:r>
      <w:r w:rsidR="00772F61" w:rsidRPr="007A6195">
        <w:rPr>
          <w:rFonts w:ascii="Times New Roman" w:hAnsi="Times New Roman" w:cs="Times New Roman"/>
          <w:sz w:val="24"/>
          <w:szCs w:val="24"/>
        </w:rPr>
        <w:t xml:space="preserve">the </w:t>
      </w:r>
      <w:r w:rsidR="00772F61">
        <w:rPr>
          <w:rFonts w:ascii="Times New Roman" w:hAnsi="Times New Roman" w:cs="Times New Roman"/>
          <w:sz w:val="24"/>
          <w:szCs w:val="24"/>
        </w:rPr>
        <w:t xml:space="preserve">specific </w:t>
      </w:r>
      <w:r w:rsidR="00772F61" w:rsidRPr="007A6195">
        <w:rPr>
          <w:rFonts w:ascii="Times New Roman" w:hAnsi="Times New Roman" w:cs="Times New Roman"/>
          <w:sz w:val="24"/>
          <w:szCs w:val="24"/>
        </w:rPr>
        <w:t>performance metric(s) used in the annual bonus and long-term incentive plans</w:t>
      </w:r>
      <w:r w:rsidR="00772F61">
        <w:rPr>
          <w:rFonts w:ascii="Times New Roman" w:hAnsi="Times New Roman" w:cs="Times New Roman"/>
          <w:sz w:val="24"/>
          <w:szCs w:val="24"/>
        </w:rPr>
        <w:t>.</w:t>
      </w:r>
      <w:r w:rsidR="00456DC6">
        <w:rPr>
          <w:rFonts w:ascii="Times New Roman" w:hAnsi="Times New Roman" w:cs="Times New Roman"/>
          <w:sz w:val="24"/>
          <w:szCs w:val="24"/>
        </w:rPr>
        <w:t xml:space="preserve"> </w:t>
      </w:r>
      <w:r w:rsidR="00F20009">
        <w:rPr>
          <w:rFonts w:ascii="Times New Roman" w:hAnsi="Times New Roman" w:cs="Times New Roman"/>
          <w:sz w:val="24"/>
          <w:szCs w:val="24"/>
        </w:rPr>
        <w:t xml:space="preserve">Descriptive statistics from this review (untabulated for brevity) indicate that </w:t>
      </w:r>
      <w:r w:rsidR="000132A5">
        <w:rPr>
          <w:rFonts w:ascii="Times New Roman" w:hAnsi="Times New Roman" w:cs="Times New Roman"/>
          <w:sz w:val="24"/>
          <w:szCs w:val="24"/>
        </w:rPr>
        <w:t>a large</w:t>
      </w:r>
      <w:r w:rsidR="00F20009">
        <w:rPr>
          <w:rFonts w:ascii="Times New Roman" w:hAnsi="Times New Roman" w:cs="Times New Roman"/>
          <w:sz w:val="24"/>
          <w:szCs w:val="24"/>
        </w:rPr>
        <w:t xml:space="preserve"> majority of firms are using a profit-based metric (e.g., profit, EPS, EBITDA etc.) for both annual bonus compensation and long-term incentive compensation.</w:t>
      </w:r>
      <w:r w:rsidR="00E67A69">
        <w:rPr>
          <w:rStyle w:val="FootnoteReference"/>
          <w:rFonts w:ascii="Times New Roman" w:hAnsi="Times New Roman" w:cs="Times New Roman"/>
          <w:sz w:val="24"/>
          <w:szCs w:val="24"/>
        </w:rPr>
        <w:footnoteReference w:id="25"/>
      </w:r>
      <w:r w:rsidR="00F20009">
        <w:rPr>
          <w:rFonts w:ascii="Times New Roman" w:hAnsi="Times New Roman" w:cs="Times New Roman"/>
          <w:sz w:val="24"/>
          <w:szCs w:val="24"/>
        </w:rPr>
        <w:t xml:space="preserve"> </w:t>
      </w:r>
      <w:r w:rsidR="00772F61">
        <w:rPr>
          <w:rFonts w:ascii="Times New Roman" w:hAnsi="Times New Roman" w:cs="Times New Roman"/>
          <w:sz w:val="24"/>
          <w:szCs w:val="24"/>
        </w:rPr>
        <w:t>Most important,</w:t>
      </w:r>
      <w:r w:rsidR="00772F61" w:rsidRPr="007A6195">
        <w:rPr>
          <w:rFonts w:ascii="Times New Roman" w:hAnsi="Times New Roman" w:cs="Times New Roman"/>
          <w:sz w:val="24"/>
          <w:szCs w:val="24"/>
        </w:rPr>
        <w:t xml:space="preserve"> </w:t>
      </w:r>
      <w:r w:rsidR="00772F61" w:rsidRPr="00FC3771">
        <w:rPr>
          <w:rFonts w:ascii="Times New Roman" w:hAnsi="Times New Roman" w:cs="Times New Roman"/>
          <w:i/>
          <w:sz w:val="24"/>
          <w:szCs w:val="24"/>
        </w:rPr>
        <w:t>not even one firm</w:t>
      </w:r>
      <w:r w:rsidR="00772F61" w:rsidRPr="007A6195">
        <w:rPr>
          <w:rFonts w:ascii="Times New Roman" w:hAnsi="Times New Roman" w:cs="Times New Roman"/>
          <w:sz w:val="24"/>
          <w:szCs w:val="24"/>
        </w:rPr>
        <w:t xml:space="preserve"> reported adjusting the performance metric used for the impact of accounting for R&amp;D. </w:t>
      </w:r>
      <w:r w:rsidR="00772F61" w:rsidRPr="007A6195">
        <w:rPr>
          <w:rFonts w:ascii="Times New Roman" w:hAnsi="Times New Roman" w:cs="Times New Roman"/>
          <w:sz w:val="24"/>
          <w:szCs w:val="24"/>
          <w:lang w:val="en-GB"/>
        </w:rPr>
        <w:t xml:space="preserve">Additionally, </w:t>
      </w:r>
      <w:r w:rsidR="00772F61" w:rsidRPr="007A6195">
        <w:rPr>
          <w:rFonts w:ascii="Times New Roman" w:hAnsi="Times New Roman" w:cs="Times New Roman"/>
          <w:sz w:val="24"/>
          <w:szCs w:val="24"/>
        </w:rPr>
        <w:t xml:space="preserve">53% (30%) of the LSE (AIM) listed firms have virtually identical compensation plans in both the last year of UK GAAP and the first year of IFRS, indicating that </w:t>
      </w:r>
      <w:r w:rsidR="00772F61">
        <w:rPr>
          <w:rFonts w:ascii="Times New Roman" w:hAnsi="Times New Roman" w:cs="Times New Roman"/>
          <w:sz w:val="24"/>
          <w:szCs w:val="24"/>
        </w:rPr>
        <w:t xml:space="preserve">these </w:t>
      </w:r>
      <w:r w:rsidR="00772F61" w:rsidRPr="007A6195">
        <w:rPr>
          <w:rFonts w:ascii="Times New Roman" w:hAnsi="Times New Roman" w:cs="Times New Roman"/>
          <w:sz w:val="24"/>
          <w:szCs w:val="24"/>
        </w:rPr>
        <w:t xml:space="preserve">firms are not adjusting their compensation plans due to the impact of accounting for R&amp;D (or for the impact of adopting IFRS as a whole); for the remaining firms there is no indication that the compensation plans have been changed due to the accounting for R&amp;D. </w:t>
      </w:r>
      <w:r w:rsidR="007B3414">
        <w:rPr>
          <w:rFonts w:ascii="Times New Roman" w:hAnsi="Times New Roman" w:cs="Times New Roman"/>
          <w:sz w:val="24"/>
          <w:szCs w:val="24"/>
        </w:rPr>
        <w:t>B</w:t>
      </w:r>
      <w:r w:rsidR="007B3414" w:rsidRPr="00B03866">
        <w:rPr>
          <w:rFonts w:ascii="Times New Roman" w:hAnsi="Times New Roman" w:cs="Times New Roman"/>
          <w:sz w:val="24"/>
          <w:szCs w:val="24"/>
        </w:rPr>
        <w:t xml:space="preserve">y </w:t>
      </w:r>
      <w:r w:rsidR="00AB2A82">
        <w:rPr>
          <w:rFonts w:ascii="Times New Roman" w:hAnsi="Times New Roman" w:cs="Times New Roman"/>
          <w:sz w:val="24"/>
          <w:szCs w:val="24"/>
        </w:rPr>
        <w:t>documenting</w:t>
      </w:r>
      <w:r w:rsidR="00AB2A82" w:rsidRPr="00B03866">
        <w:rPr>
          <w:rFonts w:ascii="Times New Roman" w:hAnsi="Times New Roman" w:cs="Times New Roman"/>
          <w:sz w:val="24"/>
          <w:szCs w:val="24"/>
        </w:rPr>
        <w:t xml:space="preserve"> </w:t>
      </w:r>
      <w:r w:rsidR="007B3414" w:rsidRPr="00B03866">
        <w:rPr>
          <w:rFonts w:ascii="Times New Roman" w:hAnsi="Times New Roman" w:cs="Times New Roman"/>
          <w:sz w:val="24"/>
          <w:szCs w:val="24"/>
        </w:rPr>
        <w:t>that switchers’ compensation contracts do not undo the effects of capitalization</w:t>
      </w:r>
      <w:r w:rsidR="007B3414">
        <w:rPr>
          <w:rFonts w:ascii="Times New Roman" w:hAnsi="Times New Roman" w:cs="Times New Roman"/>
          <w:sz w:val="24"/>
          <w:szCs w:val="24"/>
        </w:rPr>
        <w:t xml:space="preserve">, </w:t>
      </w:r>
      <w:r w:rsidR="00772F61" w:rsidRPr="007A6195">
        <w:rPr>
          <w:rFonts w:ascii="Times New Roman" w:hAnsi="Times New Roman" w:cs="Times New Roman"/>
          <w:sz w:val="24"/>
          <w:szCs w:val="24"/>
        </w:rPr>
        <w:t xml:space="preserve">we conclude managers are likely to be concerned about </w:t>
      </w:r>
      <w:r w:rsidR="007B3414">
        <w:rPr>
          <w:rFonts w:ascii="Times New Roman" w:hAnsi="Times New Roman" w:cs="Times New Roman"/>
          <w:sz w:val="24"/>
          <w:szCs w:val="24"/>
        </w:rPr>
        <w:t>(</w:t>
      </w:r>
      <w:r w:rsidR="007B3414" w:rsidRPr="007A6195">
        <w:rPr>
          <w:rFonts w:ascii="Times New Roman" w:hAnsi="Times New Roman" w:cs="Times New Roman"/>
          <w:sz w:val="24"/>
          <w:szCs w:val="24"/>
        </w:rPr>
        <w:t>the impact of expensing R&amp;D on</w:t>
      </w:r>
      <w:r w:rsidR="007B3414">
        <w:rPr>
          <w:rFonts w:ascii="Times New Roman" w:hAnsi="Times New Roman" w:cs="Times New Roman"/>
          <w:sz w:val="24"/>
          <w:szCs w:val="24"/>
        </w:rPr>
        <w:t>)</w:t>
      </w:r>
      <w:r w:rsidR="00772F61" w:rsidRPr="007A6195">
        <w:rPr>
          <w:rFonts w:ascii="Times New Roman" w:hAnsi="Times New Roman" w:cs="Times New Roman"/>
          <w:sz w:val="24"/>
          <w:szCs w:val="24"/>
        </w:rPr>
        <w:t xml:space="preserve"> profitability</w:t>
      </w:r>
      <w:r w:rsidR="007B3414">
        <w:rPr>
          <w:rFonts w:ascii="Times New Roman" w:hAnsi="Times New Roman" w:cs="Times New Roman"/>
          <w:sz w:val="24"/>
          <w:szCs w:val="24"/>
        </w:rPr>
        <w:t xml:space="preserve">, consistent </w:t>
      </w:r>
      <w:r w:rsidR="007B3414" w:rsidRPr="00B03866">
        <w:rPr>
          <w:rFonts w:ascii="Times New Roman" w:hAnsi="Times New Roman" w:cs="Times New Roman"/>
          <w:sz w:val="24"/>
          <w:szCs w:val="24"/>
        </w:rPr>
        <w:t xml:space="preserve">with </w:t>
      </w:r>
      <w:r w:rsidR="00894257">
        <w:rPr>
          <w:rFonts w:ascii="Times New Roman" w:hAnsi="Times New Roman" w:cs="Times New Roman"/>
          <w:sz w:val="24"/>
          <w:szCs w:val="24"/>
        </w:rPr>
        <w:t xml:space="preserve">the profitability </w:t>
      </w:r>
      <w:r w:rsidR="0041601F">
        <w:rPr>
          <w:rFonts w:ascii="Times New Roman" w:hAnsi="Times New Roman" w:cs="Times New Roman"/>
          <w:sz w:val="24"/>
          <w:szCs w:val="24"/>
        </w:rPr>
        <w:t>channel</w:t>
      </w:r>
      <w:r w:rsidR="00772F61" w:rsidRPr="007A6195">
        <w:rPr>
          <w:rFonts w:ascii="Times New Roman" w:hAnsi="Times New Roman" w:cs="Times New Roman"/>
          <w:sz w:val="24"/>
          <w:szCs w:val="24"/>
        </w:rPr>
        <w:t>.</w:t>
      </w:r>
      <w:r w:rsidR="007B3414" w:rsidRPr="007B3414">
        <w:rPr>
          <w:rStyle w:val="FootnoteReference"/>
          <w:rFonts w:ascii="Times New Roman" w:hAnsi="Times New Roman" w:cs="Times New Roman"/>
          <w:sz w:val="24"/>
          <w:szCs w:val="24"/>
        </w:rPr>
        <w:t xml:space="preserve"> </w:t>
      </w:r>
      <w:r w:rsidR="00C86AC7">
        <w:rPr>
          <w:rFonts w:ascii="Times New Roman" w:hAnsi="Times New Roman" w:cs="Times New Roman"/>
          <w:sz w:val="24"/>
          <w:szCs w:val="24"/>
        </w:rPr>
        <w:t>Recall that high vs low growth</w:t>
      </w:r>
      <w:r w:rsidR="00C90AFB">
        <w:rPr>
          <w:rFonts w:ascii="Times New Roman" w:hAnsi="Times New Roman" w:cs="Times New Roman"/>
          <w:sz w:val="24"/>
          <w:szCs w:val="24"/>
        </w:rPr>
        <w:t xml:space="preserve"> results</w:t>
      </w:r>
      <w:r w:rsidR="00C86AC7">
        <w:rPr>
          <w:rFonts w:ascii="Times New Roman" w:hAnsi="Times New Roman" w:cs="Times New Roman"/>
          <w:sz w:val="24"/>
          <w:szCs w:val="24"/>
        </w:rPr>
        <w:t xml:space="preserve"> in Table 9 also are consistent with this channel. </w:t>
      </w:r>
    </w:p>
    <w:p w14:paraId="1758CA89" w14:textId="77777777" w:rsidR="00497FE3" w:rsidRDefault="00497FE3" w:rsidP="00860733">
      <w:pPr>
        <w:spacing w:after="0" w:line="480" w:lineRule="auto"/>
        <w:ind w:firstLine="567"/>
        <w:rPr>
          <w:rFonts w:ascii="Times New Roman" w:hAnsi="Times New Roman" w:cs="Times New Roman"/>
          <w:sz w:val="24"/>
          <w:szCs w:val="24"/>
        </w:rPr>
      </w:pPr>
    </w:p>
    <w:p w14:paraId="24735957" w14:textId="2DEBEEB0" w:rsidR="005F310C" w:rsidRPr="002D7C35" w:rsidRDefault="005F310C" w:rsidP="002D7C35">
      <w:pPr>
        <w:spacing w:after="0" w:line="480" w:lineRule="auto"/>
        <w:rPr>
          <w:rFonts w:ascii="Times New Roman" w:hAnsi="Times New Roman" w:cs="Times New Roman"/>
          <w:i/>
          <w:sz w:val="24"/>
          <w:szCs w:val="24"/>
        </w:rPr>
      </w:pPr>
      <w:r w:rsidRPr="002D7C35">
        <w:rPr>
          <w:rFonts w:ascii="Times New Roman" w:hAnsi="Times New Roman" w:cs="Times New Roman"/>
          <w:i/>
          <w:sz w:val="24"/>
          <w:szCs w:val="24"/>
        </w:rPr>
        <w:t xml:space="preserve">7.2 </w:t>
      </w:r>
      <w:r w:rsidR="0041601F">
        <w:rPr>
          <w:rFonts w:ascii="Times New Roman" w:hAnsi="Times New Roman" w:cs="Times New Roman"/>
          <w:i/>
          <w:sz w:val="24"/>
          <w:szCs w:val="24"/>
        </w:rPr>
        <w:t xml:space="preserve">External Information </w:t>
      </w:r>
      <w:r w:rsidRPr="002D7C35">
        <w:rPr>
          <w:rFonts w:ascii="Times New Roman" w:hAnsi="Times New Roman" w:cs="Times New Roman"/>
          <w:i/>
          <w:sz w:val="24"/>
          <w:szCs w:val="24"/>
        </w:rPr>
        <w:t>Channel</w:t>
      </w:r>
      <w:r w:rsidR="00745054">
        <w:rPr>
          <w:rFonts w:ascii="Times New Roman" w:hAnsi="Times New Roman" w:cs="Times New Roman"/>
          <w:i/>
          <w:sz w:val="24"/>
          <w:szCs w:val="24"/>
        </w:rPr>
        <w:t xml:space="preserve"> (Reduction in Adverse Selection)</w:t>
      </w:r>
    </w:p>
    <w:p w14:paraId="5242799A" w14:textId="68498935" w:rsidR="00470A39" w:rsidRPr="00843573" w:rsidRDefault="00470A39" w:rsidP="00312EED">
      <w:pPr>
        <w:pStyle w:val="CommentText"/>
        <w:spacing w:after="0" w:line="480" w:lineRule="auto"/>
        <w:ind w:firstLine="567"/>
        <w:jc w:val="both"/>
        <w:rPr>
          <w:rFonts w:ascii="Times New Roman" w:hAnsi="Times New Roman" w:cs="Times New Roman"/>
          <w:sz w:val="24"/>
          <w:szCs w:val="24"/>
        </w:rPr>
      </w:pPr>
      <w:r w:rsidRPr="002D7C35">
        <w:rPr>
          <w:rFonts w:ascii="Times New Roman" w:hAnsi="Times New Roman" w:cs="Times New Roman"/>
          <w:sz w:val="24"/>
          <w:szCs w:val="24"/>
        </w:rPr>
        <w:t>To examine whether capita</w:t>
      </w:r>
      <w:r w:rsidR="002D7C35" w:rsidRPr="002D7C35">
        <w:rPr>
          <w:rFonts w:ascii="Times New Roman" w:hAnsi="Times New Roman" w:cs="Times New Roman"/>
          <w:sz w:val="24"/>
          <w:szCs w:val="24"/>
        </w:rPr>
        <w:t xml:space="preserve">lization </w:t>
      </w:r>
      <w:r w:rsidR="0041601F">
        <w:rPr>
          <w:rFonts w:ascii="Times New Roman" w:hAnsi="Times New Roman" w:cs="Times New Roman"/>
          <w:sz w:val="24"/>
          <w:szCs w:val="24"/>
        </w:rPr>
        <w:t xml:space="preserve">reduces information asymmetry </w:t>
      </w:r>
      <w:r w:rsidR="00745054">
        <w:rPr>
          <w:rFonts w:ascii="Times New Roman" w:hAnsi="Times New Roman" w:cs="Times New Roman"/>
          <w:sz w:val="24"/>
          <w:szCs w:val="24"/>
        </w:rPr>
        <w:t xml:space="preserve">(adverse selection) </w:t>
      </w:r>
      <w:r w:rsidR="0041601F">
        <w:rPr>
          <w:rFonts w:ascii="Times New Roman" w:hAnsi="Times New Roman" w:cs="Times New Roman"/>
          <w:sz w:val="24"/>
          <w:szCs w:val="24"/>
        </w:rPr>
        <w:t>between the firm and the market</w:t>
      </w:r>
      <w:r w:rsidRPr="002D7C35">
        <w:rPr>
          <w:rFonts w:ascii="Times New Roman" w:hAnsi="Times New Roman" w:cs="Times New Roman"/>
          <w:sz w:val="24"/>
          <w:szCs w:val="24"/>
        </w:rPr>
        <w:t>, we compare the change in switchers’ vs capitalizers’ bid-ask spreads from the year before IFRS adoption (last year of UK GAAP) to the first IFRS year. Bid-ask spreads are a measure of liquidity, and a fundamental result in accounting</w:t>
      </w:r>
      <w:r>
        <w:rPr>
          <w:rFonts w:ascii="Times New Roman" w:hAnsi="Times New Roman" w:cs="Times New Roman"/>
          <w:sz w:val="24"/>
          <w:szCs w:val="24"/>
        </w:rPr>
        <w:t xml:space="preserve"> research is that increased disclosure (information) increases liquidity, and thus reduces bid-ask spreads (Leuz and Verrecchia, 2000; Daske</w:t>
      </w:r>
      <w:r w:rsidR="00AB2A82">
        <w:rPr>
          <w:rFonts w:ascii="Times New Roman" w:hAnsi="Times New Roman" w:cs="Times New Roman"/>
          <w:sz w:val="24"/>
          <w:szCs w:val="24"/>
        </w:rPr>
        <w:t>, Hail, Luez and Verdi</w:t>
      </w:r>
      <w:r>
        <w:rPr>
          <w:rFonts w:ascii="Times New Roman" w:hAnsi="Times New Roman" w:cs="Times New Roman"/>
          <w:sz w:val="24"/>
          <w:szCs w:val="24"/>
        </w:rPr>
        <w:t>, 2008; Balakrishnan</w:t>
      </w:r>
      <w:r w:rsidR="00AB2A82">
        <w:rPr>
          <w:rFonts w:ascii="Times New Roman" w:hAnsi="Times New Roman" w:cs="Times New Roman"/>
          <w:sz w:val="24"/>
          <w:szCs w:val="24"/>
        </w:rPr>
        <w:t>, Millings, Kelly and Ljungqvist</w:t>
      </w:r>
      <w:r>
        <w:rPr>
          <w:rFonts w:ascii="Times New Roman" w:hAnsi="Times New Roman" w:cs="Times New Roman"/>
          <w:sz w:val="24"/>
          <w:szCs w:val="24"/>
        </w:rPr>
        <w:t xml:space="preserve">, 2014). </w:t>
      </w:r>
      <w:r w:rsidR="007E4331">
        <w:rPr>
          <w:rFonts w:ascii="Times New Roman" w:hAnsi="Times New Roman" w:cs="Times New Roman"/>
          <w:sz w:val="24"/>
          <w:szCs w:val="24"/>
        </w:rPr>
        <w:t xml:space="preserve">Thus, if capitalization caused </w:t>
      </w:r>
      <w:r>
        <w:rPr>
          <w:rFonts w:ascii="Times New Roman" w:hAnsi="Times New Roman" w:cs="Times New Roman"/>
          <w:sz w:val="24"/>
          <w:szCs w:val="24"/>
        </w:rPr>
        <w:t xml:space="preserve">switchers </w:t>
      </w:r>
      <w:r w:rsidR="007E4331">
        <w:rPr>
          <w:rFonts w:ascii="Times New Roman" w:hAnsi="Times New Roman" w:cs="Times New Roman"/>
          <w:sz w:val="24"/>
          <w:szCs w:val="24"/>
        </w:rPr>
        <w:t xml:space="preserve">to have </w:t>
      </w:r>
      <w:r>
        <w:rPr>
          <w:rFonts w:ascii="Times New Roman" w:hAnsi="Times New Roman" w:cs="Times New Roman"/>
          <w:sz w:val="24"/>
          <w:szCs w:val="24"/>
        </w:rPr>
        <w:t>increased liquidity</w:t>
      </w:r>
      <w:r w:rsidR="007E4331">
        <w:rPr>
          <w:rFonts w:ascii="Times New Roman" w:hAnsi="Times New Roman" w:cs="Times New Roman"/>
          <w:sz w:val="24"/>
          <w:szCs w:val="24"/>
        </w:rPr>
        <w:t xml:space="preserve">, this should show up in their </w:t>
      </w:r>
      <w:r w:rsidR="00B300CB">
        <w:rPr>
          <w:rFonts w:ascii="Times New Roman" w:hAnsi="Times New Roman" w:cs="Times New Roman"/>
          <w:sz w:val="24"/>
          <w:szCs w:val="24"/>
        </w:rPr>
        <w:t>lower bid-ask spreads</w:t>
      </w:r>
      <w:r w:rsidR="001D45F4">
        <w:rPr>
          <w:rFonts w:ascii="Times New Roman" w:hAnsi="Times New Roman" w:cs="Times New Roman"/>
          <w:sz w:val="24"/>
          <w:szCs w:val="24"/>
        </w:rPr>
        <w:t>, relative to capitalizers</w:t>
      </w:r>
      <w:r>
        <w:rPr>
          <w:rFonts w:ascii="Times New Roman" w:hAnsi="Times New Roman" w:cs="Times New Roman"/>
          <w:sz w:val="24"/>
          <w:szCs w:val="24"/>
        </w:rPr>
        <w:t xml:space="preserve">.           </w:t>
      </w:r>
    </w:p>
    <w:p w14:paraId="77A8B42A" w14:textId="00B9190D" w:rsidR="005F310C" w:rsidRDefault="005F310C" w:rsidP="00312EE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Since we do not know exactly when the market learned the capitalization information for switchers, we measure bid-ask spreads and related variables over a year starting 3 months after year-end, to be confident that the information is incorporated in the spreads. </w:t>
      </w:r>
    </w:p>
    <w:p w14:paraId="1E149C48" w14:textId="1923FE29" w:rsidR="005F310C" w:rsidRDefault="005F310C" w:rsidP="00312EED">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In addition t</w:t>
      </w:r>
      <w:r w:rsidR="00C86AC7">
        <w:rPr>
          <w:rFonts w:ascii="Times New Roman" w:hAnsi="Times New Roman" w:cs="Times New Roman"/>
          <w:sz w:val="24"/>
          <w:szCs w:val="24"/>
        </w:rPr>
        <w:t>o R&amp;D capitalization, we control for</w:t>
      </w:r>
      <w:r>
        <w:rPr>
          <w:rFonts w:ascii="Times New Roman" w:hAnsi="Times New Roman" w:cs="Times New Roman"/>
          <w:sz w:val="24"/>
          <w:szCs w:val="24"/>
        </w:rPr>
        <w:t xml:space="preserve"> the six other accounting changes most affected by the switch from UK GAAP to IFRS (Horton and Serafeim, 2010)</w:t>
      </w:r>
      <w:r w:rsidR="00514EA3">
        <w:rPr>
          <w:rFonts w:ascii="Times New Roman" w:hAnsi="Times New Roman" w:cs="Times New Roman"/>
          <w:sz w:val="24"/>
          <w:szCs w:val="24"/>
        </w:rPr>
        <w:t xml:space="preserve"> that may have also affected the cost of capital</w:t>
      </w:r>
      <w:r w:rsidR="00F75128">
        <w:rPr>
          <w:rFonts w:ascii="Times New Roman" w:hAnsi="Times New Roman" w:cs="Times New Roman"/>
          <w:sz w:val="24"/>
          <w:szCs w:val="24"/>
        </w:rPr>
        <w:t xml:space="preserve"> (see Section 6.3)</w:t>
      </w:r>
      <w:r>
        <w:rPr>
          <w:rFonts w:ascii="Times New Roman" w:hAnsi="Times New Roman" w:cs="Times New Roman"/>
          <w:sz w:val="24"/>
          <w:szCs w:val="24"/>
        </w:rPr>
        <w:t xml:space="preserve">, and we estimate the following regression model:      </w:t>
      </w:r>
    </w:p>
    <w:p w14:paraId="16E166FC" w14:textId="77777777" w:rsidR="006F1F7D" w:rsidRDefault="006F47F2" w:rsidP="00BC4952">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69C1BBD5" w14:textId="60388F23" w:rsidR="006F47F2" w:rsidRDefault="006F1F7D" w:rsidP="00BC4952">
      <w:pPr>
        <w:tabs>
          <w:tab w:val="left" w:pos="720"/>
        </w:tabs>
        <w:spacing w:after="0" w:line="240" w:lineRule="auto"/>
        <w:rPr>
          <w:rFonts w:ascii="Times New Roman" w:hAnsi="Times New Roman" w:cs="Times New Roman"/>
          <w:sz w:val="24"/>
          <w:szCs w:val="24"/>
          <w:vertAlign w:val="subscript"/>
        </w:rPr>
      </w:pPr>
      <w:r>
        <w:rPr>
          <w:rFonts w:ascii="Times New Roman" w:hAnsi="Times New Roman" w:cs="Times New Roman"/>
          <w:sz w:val="24"/>
          <w:szCs w:val="24"/>
        </w:rPr>
        <w:tab/>
      </w:r>
      <w:r w:rsidR="005F310C">
        <w:rPr>
          <w:rFonts w:ascii="Times New Roman" w:hAnsi="Times New Roman" w:cs="Times New Roman"/>
          <w:sz w:val="24"/>
          <w:szCs w:val="24"/>
        </w:rPr>
        <w:t>∆B-A Spread</w:t>
      </w:r>
      <w:r w:rsidR="005F310C">
        <w:rPr>
          <w:rFonts w:ascii="Times New Roman" w:hAnsi="Times New Roman" w:cs="Times New Roman"/>
          <w:sz w:val="24"/>
          <w:szCs w:val="24"/>
          <w:vertAlign w:val="subscript"/>
        </w:rPr>
        <w:t>i</w:t>
      </w:r>
      <w:r w:rsidR="005F310C">
        <w:rPr>
          <w:rFonts w:ascii="Times New Roman" w:hAnsi="Times New Roman" w:cs="Times New Roman"/>
          <w:sz w:val="24"/>
          <w:szCs w:val="24"/>
        </w:rPr>
        <w:t xml:space="preserve"> = </w:t>
      </w:r>
      <w:r w:rsidR="005C4678">
        <w:rPr>
          <w:rFonts w:ascii="Symbol" w:hAnsi="Symbol" w:cs="Times New Roman"/>
          <w:sz w:val="24"/>
          <w:szCs w:val="24"/>
        </w:rPr>
        <w:t></w:t>
      </w:r>
      <w:r w:rsidR="005F310C" w:rsidRPr="00DF2E72">
        <w:rPr>
          <w:rFonts w:ascii="Times New Roman" w:hAnsi="Times New Roman" w:cs="Times New Roman"/>
          <w:sz w:val="24"/>
          <w:szCs w:val="24"/>
          <w:vertAlign w:val="subscript"/>
        </w:rPr>
        <w:t xml:space="preserve">0 </w:t>
      </w:r>
      <w:r w:rsidR="005F310C">
        <w:rPr>
          <w:rFonts w:ascii="Times New Roman" w:hAnsi="Times New Roman" w:cs="Times New Roman"/>
          <w:sz w:val="24"/>
          <w:szCs w:val="24"/>
        </w:rPr>
        <w:t xml:space="preserve">+ </w:t>
      </w:r>
      <w:r w:rsidR="006F47F2">
        <w:rPr>
          <w:rFonts w:ascii="Symbol" w:hAnsi="Symbol" w:cs="Times New Roman"/>
          <w:sz w:val="24"/>
          <w:szCs w:val="24"/>
        </w:rPr>
        <w:t></w:t>
      </w:r>
      <w:r w:rsidR="005F310C">
        <w:rPr>
          <w:rFonts w:ascii="Times New Roman" w:hAnsi="Times New Roman" w:cs="Times New Roman"/>
          <w:sz w:val="24"/>
          <w:szCs w:val="24"/>
          <w:vertAlign w:val="subscript"/>
        </w:rPr>
        <w:t>1</w:t>
      </w:r>
      <w:r w:rsidR="005F310C">
        <w:rPr>
          <w:rFonts w:ascii="Times New Roman" w:hAnsi="Times New Roman" w:cs="Times New Roman"/>
          <w:sz w:val="24"/>
          <w:szCs w:val="24"/>
        </w:rPr>
        <w:t xml:space="preserve">SWITCH </w:t>
      </w:r>
      <w:r w:rsidR="00255FBE">
        <w:rPr>
          <w:rFonts w:ascii="Times New Roman" w:hAnsi="Times New Roman" w:cs="Times New Roman"/>
          <w:sz w:val="24"/>
          <w:szCs w:val="24"/>
        </w:rPr>
        <w:t>+ ∑</w:t>
      </w:r>
      <w:r w:rsidR="00255FBE" w:rsidRPr="0012154E">
        <w:rPr>
          <w:rFonts w:ascii="Times New Roman" w:hAnsi="Times New Roman" w:cs="Times New Roman"/>
          <w:sz w:val="24"/>
          <w:szCs w:val="24"/>
          <w:vertAlign w:val="subscript"/>
        </w:rPr>
        <w:t>i</w:t>
      </w:r>
      <w:r w:rsidR="00255FBE">
        <w:rPr>
          <w:rFonts w:ascii="Symbol" w:hAnsi="Symbol" w:cs="Times New Roman"/>
          <w:sz w:val="24"/>
          <w:szCs w:val="24"/>
        </w:rPr>
        <w:sym w:font="Symbol" w:char="F046"/>
      </w:r>
      <w:r w:rsidR="00255FBE">
        <w:rPr>
          <w:rFonts w:ascii="Times New Roman" w:hAnsi="Times New Roman" w:cs="Times New Roman"/>
          <w:sz w:val="24"/>
          <w:szCs w:val="24"/>
          <w:vertAlign w:val="subscript"/>
        </w:rPr>
        <w:t>i</w:t>
      </w:r>
      <w:r w:rsidR="00255FBE">
        <w:rPr>
          <w:rFonts w:ascii="Times New Roman" w:hAnsi="Times New Roman" w:cs="Times New Roman"/>
          <w:sz w:val="24"/>
          <w:szCs w:val="24"/>
        </w:rPr>
        <w:t>Control</w:t>
      </w:r>
      <w:r w:rsidR="00255FBE" w:rsidRPr="0012154E">
        <w:rPr>
          <w:rFonts w:ascii="Times New Roman" w:hAnsi="Times New Roman" w:cs="Times New Roman"/>
          <w:sz w:val="24"/>
          <w:szCs w:val="24"/>
          <w:vertAlign w:val="subscript"/>
        </w:rPr>
        <w:t>i</w:t>
      </w:r>
      <w:r w:rsidR="00255FBE">
        <w:rPr>
          <w:rFonts w:ascii="Times New Roman" w:hAnsi="Times New Roman" w:cs="Times New Roman"/>
          <w:sz w:val="24"/>
          <w:szCs w:val="24"/>
        </w:rPr>
        <w:t xml:space="preserve"> </w:t>
      </w:r>
      <w:r w:rsidR="005F310C">
        <w:rPr>
          <w:rFonts w:ascii="Times New Roman" w:hAnsi="Times New Roman" w:cs="Times New Roman"/>
          <w:sz w:val="24"/>
          <w:szCs w:val="24"/>
        </w:rPr>
        <w:t xml:space="preserve">+ </w:t>
      </w:r>
      <w:r w:rsidR="00CB1894">
        <w:rPr>
          <w:rFonts w:ascii="Symbol" w:hAnsi="Symbol" w:cs="Times New Roman"/>
          <w:sz w:val="24"/>
          <w:szCs w:val="24"/>
        </w:rPr>
        <w:t></w:t>
      </w:r>
      <w:r w:rsidR="00CB1894">
        <w:rPr>
          <w:rFonts w:ascii="Times New Roman" w:hAnsi="Times New Roman" w:cs="Times New Roman"/>
          <w:sz w:val="24"/>
          <w:szCs w:val="24"/>
          <w:vertAlign w:val="subscript"/>
        </w:rPr>
        <w:t>j</w:t>
      </w:r>
      <w:r w:rsidR="00CB1894">
        <w:rPr>
          <w:rFonts w:ascii="Symbol" w:hAnsi="Symbol" w:cs="Times New Roman"/>
          <w:sz w:val="24"/>
          <w:szCs w:val="24"/>
        </w:rPr>
        <w:t></w:t>
      </w:r>
      <w:r w:rsidR="00CB1894">
        <w:rPr>
          <w:rFonts w:ascii="Times New Roman" w:hAnsi="Times New Roman" w:cs="Times New Roman"/>
          <w:sz w:val="24"/>
          <w:szCs w:val="24"/>
          <w:vertAlign w:val="subscript"/>
        </w:rPr>
        <w:t>j</w:t>
      </w:r>
      <w:r w:rsidR="00CB1894">
        <w:rPr>
          <w:rFonts w:ascii="Times New Roman" w:hAnsi="Times New Roman" w:cs="Times New Roman"/>
          <w:sz w:val="24"/>
          <w:szCs w:val="24"/>
        </w:rPr>
        <w:t>OTH_IFRS_CHG</w:t>
      </w:r>
      <w:r w:rsidR="00CB1894">
        <w:rPr>
          <w:rFonts w:ascii="Times New Roman" w:hAnsi="Times New Roman" w:cs="Times New Roman"/>
          <w:sz w:val="24"/>
          <w:szCs w:val="24"/>
          <w:vertAlign w:val="subscript"/>
        </w:rPr>
        <w:t>j</w:t>
      </w:r>
      <w:r w:rsidR="00CB1894" w:rsidDel="00CB1894">
        <w:rPr>
          <w:rFonts w:ascii="Times New Roman" w:hAnsi="Times New Roman" w:cs="Times New Roman"/>
          <w:sz w:val="24"/>
          <w:szCs w:val="24"/>
        </w:rPr>
        <w:t xml:space="preserve"> </w:t>
      </w:r>
    </w:p>
    <w:p w14:paraId="17BC34B9" w14:textId="43B56242" w:rsidR="005F310C" w:rsidRDefault="006F47F2" w:rsidP="00BC4952">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4E95">
        <w:rPr>
          <w:rFonts w:ascii="Times New Roman" w:hAnsi="Times New Roman" w:cs="Times New Roman"/>
          <w:sz w:val="24"/>
          <w:szCs w:val="24"/>
        </w:rPr>
        <w:tab/>
      </w:r>
      <w:r w:rsidR="00E44E95">
        <w:rPr>
          <w:rFonts w:ascii="Times New Roman" w:hAnsi="Times New Roman" w:cs="Times New Roman"/>
          <w:sz w:val="24"/>
          <w:szCs w:val="24"/>
        </w:rPr>
        <w:tab/>
      </w:r>
      <w:r>
        <w:rPr>
          <w:rFonts w:ascii="Times New Roman" w:hAnsi="Times New Roman" w:cs="Times New Roman"/>
          <w:sz w:val="24"/>
          <w:szCs w:val="24"/>
        </w:rPr>
        <w:t xml:space="preserve">+ year fixed effects + </w:t>
      </w:r>
      <w:r w:rsidR="005F310C" w:rsidRPr="00233DB1">
        <w:rPr>
          <w:rFonts w:ascii="Symbol" w:hAnsi="Symbol" w:cs="Times New Roman"/>
          <w:sz w:val="24"/>
          <w:szCs w:val="24"/>
        </w:rPr>
        <w:t></w:t>
      </w:r>
      <w:r w:rsidR="005F310C">
        <w:rPr>
          <w:rFonts w:ascii="Times New Roman" w:hAnsi="Times New Roman" w:cs="Times New Roman"/>
          <w:sz w:val="24"/>
          <w:szCs w:val="24"/>
        </w:rPr>
        <w:t xml:space="preserve">        </w:t>
      </w:r>
      <w:r w:rsidR="005F310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F310C">
        <w:rPr>
          <w:rFonts w:ascii="Times New Roman" w:hAnsi="Times New Roman" w:cs="Times New Roman"/>
          <w:sz w:val="24"/>
          <w:szCs w:val="24"/>
        </w:rPr>
        <w:t>(</w:t>
      </w:r>
      <w:r>
        <w:rPr>
          <w:rFonts w:ascii="Times New Roman" w:hAnsi="Times New Roman" w:cs="Times New Roman"/>
          <w:sz w:val="24"/>
          <w:szCs w:val="24"/>
        </w:rPr>
        <w:t>7</w:t>
      </w:r>
      <w:r w:rsidR="005F310C">
        <w:rPr>
          <w:rFonts w:ascii="Times New Roman" w:hAnsi="Times New Roman" w:cs="Times New Roman"/>
          <w:sz w:val="24"/>
          <w:szCs w:val="24"/>
        </w:rPr>
        <w:t>)</w:t>
      </w:r>
    </w:p>
    <w:p w14:paraId="0AEFEA3A" w14:textId="77777777" w:rsidR="006F47F2" w:rsidRDefault="006F47F2" w:rsidP="00BC4952">
      <w:pPr>
        <w:tabs>
          <w:tab w:val="left" w:pos="720"/>
        </w:tabs>
        <w:spacing w:after="0" w:line="240" w:lineRule="auto"/>
        <w:rPr>
          <w:rFonts w:ascii="Times New Roman" w:hAnsi="Times New Roman" w:cs="Times New Roman"/>
          <w:sz w:val="24"/>
          <w:szCs w:val="24"/>
        </w:rPr>
      </w:pPr>
    </w:p>
    <w:p w14:paraId="2A3F6A63" w14:textId="27AD46B4" w:rsidR="005F310C" w:rsidRDefault="00037174" w:rsidP="005F310C">
      <w:pPr>
        <w:spacing w:after="0" w:line="480" w:lineRule="auto"/>
        <w:rPr>
          <w:rFonts w:ascii="Times New Roman" w:hAnsi="Times New Roman" w:cs="Times New Roman"/>
          <w:sz w:val="24"/>
          <w:szCs w:val="24"/>
        </w:rPr>
      </w:pPr>
      <w:r>
        <w:rPr>
          <w:rFonts w:ascii="Times New Roman" w:hAnsi="Times New Roman" w:cs="Times New Roman"/>
          <w:sz w:val="24"/>
          <w:szCs w:val="24"/>
        </w:rPr>
        <w:t>We control for the change in return volatility, share volume, market value, and price</w:t>
      </w:r>
      <w:r w:rsidR="00910C93">
        <w:rPr>
          <w:rFonts w:ascii="Times New Roman" w:hAnsi="Times New Roman" w:cs="Times New Roman"/>
          <w:sz w:val="24"/>
          <w:szCs w:val="24"/>
        </w:rPr>
        <w:t>.</w:t>
      </w:r>
      <w:r w:rsidR="00255FBE">
        <w:rPr>
          <w:rFonts w:ascii="Times New Roman" w:hAnsi="Times New Roman" w:cs="Times New Roman"/>
          <w:sz w:val="24"/>
          <w:szCs w:val="24"/>
        </w:rPr>
        <w:t xml:space="preserve">  OTH_IFRS_CHG</w:t>
      </w:r>
      <w:r w:rsidR="00255FBE">
        <w:rPr>
          <w:rFonts w:ascii="Times New Roman" w:hAnsi="Times New Roman" w:cs="Times New Roman"/>
          <w:sz w:val="24"/>
          <w:szCs w:val="24"/>
          <w:vertAlign w:val="subscript"/>
        </w:rPr>
        <w:t>j</w:t>
      </w:r>
      <w:r w:rsidR="00255FBE">
        <w:rPr>
          <w:rFonts w:ascii="Times New Roman" w:hAnsi="Times New Roman" w:cs="Times New Roman"/>
          <w:sz w:val="24"/>
          <w:szCs w:val="24"/>
        </w:rPr>
        <w:t xml:space="preserve"> are as defined in Section 6.3.</w:t>
      </w:r>
    </w:p>
    <w:p w14:paraId="4A5F6DA8" w14:textId="31D4B259" w:rsidR="00514EA3" w:rsidRPr="008C43E3" w:rsidRDefault="005F310C" w:rsidP="00312EED">
      <w:pPr>
        <w:pStyle w:val="FootnoteText"/>
        <w:spacing w:line="480" w:lineRule="auto"/>
        <w:ind w:firstLine="360"/>
        <w:jc w:val="both"/>
        <w:rPr>
          <w:rFonts w:ascii="Times New Roman" w:hAnsi="Times New Roman" w:cs="Times New Roman"/>
          <w:sz w:val="24"/>
          <w:szCs w:val="24"/>
        </w:rPr>
      </w:pPr>
      <w:r w:rsidRPr="00A4407D">
        <w:rPr>
          <w:rFonts w:ascii="Times New Roman" w:hAnsi="Times New Roman" w:cs="Times New Roman"/>
          <w:sz w:val="24"/>
          <w:szCs w:val="24"/>
        </w:rPr>
        <w:t xml:space="preserve">Table </w:t>
      </w:r>
      <w:r w:rsidR="009501C2">
        <w:rPr>
          <w:rFonts w:ascii="Times New Roman" w:hAnsi="Times New Roman" w:cs="Times New Roman"/>
          <w:sz w:val="24"/>
          <w:szCs w:val="24"/>
        </w:rPr>
        <w:t>1</w:t>
      </w:r>
      <w:r w:rsidR="004827D5">
        <w:rPr>
          <w:rFonts w:ascii="Times New Roman" w:hAnsi="Times New Roman" w:cs="Times New Roman"/>
          <w:sz w:val="24"/>
          <w:szCs w:val="24"/>
        </w:rPr>
        <w:t>2</w:t>
      </w:r>
      <w:r w:rsidRPr="00A4407D">
        <w:rPr>
          <w:rFonts w:ascii="Times New Roman" w:hAnsi="Times New Roman" w:cs="Times New Roman"/>
          <w:sz w:val="24"/>
          <w:szCs w:val="24"/>
        </w:rPr>
        <w:t xml:space="preserve"> reports the results of equation (</w:t>
      </w:r>
      <w:r w:rsidR="008A15A3">
        <w:rPr>
          <w:rFonts w:ascii="Times New Roman" w:hAnsi="Times New Roman" w:cs="Times New Roman"/>
          <w:sz w:val="24"/>
          <w:szCs w:val="24"/>
        </w:rPr>
        <w:t>7</w:t>
      </w:r>
      <w:r w:rsidR="0059596B">
        <w:rPr>
          <w:rFonts w:ascii="Times New Roman" w:hAnsi="Times New Roman" w:cs="Times New Roman"/>
          <w:sz w:val="24"/>
          <w:szCs w:val="24"/>
        </w:rPr>
        <w:t>)</w:t>
      </w:r>
      <w:r w:rsidRPr="00A4407D">
        <w:rPr>
          <w:rFonts w:ascii="Times New Roman" w:hAnsi="Times New Roman" w:cs="Times New Roman"/>
          <w:sz w:val="24"/>
          <w:szCs w:val="24"/>
        </w:rPr>
        <w:t xml:space="preserve">. </w:t>
      </w:r>
      <w:r w:rsidRPr="008C43E3">
        <w:rPr>
          <w:rFonts w:ascii="Times New Roman" w:hAnsi="Times New Roman" w:cs="Times New Roman"/>
          <w:sz w:val="24"/>
          <w:szCs w:val="24"/>
        </w:rPr>
        <w:t xml:space="preserve">The coefficient on SWITCH is significantly negative, indicating that switchers' bid-ask spreads fell relative to capitalizers, when the UK switched to IFRS. Since we control for the other IFRS changes, the relative decline in switchers’ spreads was most likely due to </w:t>
      </w:r>
      <w:r w:rsidR="00514EA3" w:rsidRPr="008C43E3">
        <w:rPr>
          <w:rFonts w:ascii="Times New Roman" w:hAnsi="Times New Roman" w:cs="Times New Roman"/>
          <w:sz w:val="24"/>
          <w:szCs w:val="24"/>
        </w:rPr>
        <w:t xml:space="preserve">R&amp;D capitalization. </w:t>
      </w:r>
      <w:r w:rsidRPr="008C43E3">
        <w:rPr>
          <w:rFonts w:ascii="Times New Roman" w:hAnsi="Times New Roman" w:cs="Times New Roman"/>
          <w:sz w:val="24"/>
          <w:szCs w:val="24"/>
        </w:rPr>
        <w:t xml:space="preserve">The coefficient on SWITCH, which represents the average change in switchers’ bid-ask spreads relative to capitalizers’ (controlling for the other regressors), shows that R&amp;D capitalization was a major factor in the difference between the two groups. Thus, the bid-ask results in Table </w:t>
      </w:r>
      <w:r w:rsidR="009501C2" w:rsidRPr="008C43E3">
        <w:rPr>
          <w:rFonts w:ascii="Times New Roman" w:hAnsi="Times New Roman" w:cs="Times New Roman"/>
          <w:sz w:val="24"/>
          <w:szCs w:val="24"/>
        </w:rPr>
        <w:t>1</w:t>
      </w:r>
      <w:r w:rsidR="004827D5">
        <w:rPr>
          <w:rFonts w:ascii="Times New Roman" w:hAnsi="Times New Roman" w:cs="Times New Roman"/>
          <w:sz w:val="24"/>
          <w:szCs w:val="24"/>
        </w:rPr>
        <w:t>2</w:t>
      </w:r>
      <w:r w:rsidR="00514EA3" w:rsidRPr="008C43E3">
        <w:rPr>
          <w:rFonts w:ascii="Times New Roman" w:hAnsi="Times New Roman" w:cs="Times New Roman"/>
          <w:sz w:val="24"/>
          <w:szCs w:val="24"/>
        </w:rPr>
        <w:t xml:space="preserve"> are consistent with </w:t>
      </w:r>
      <w:r w:rsidR="00766622" w:rsidRPr="008C43E3">
        <w:rPr>
          <w:rFonts w:ascii="Times New Roman" w:hAnsi="Times New Roman" w:cs="Times New Roman"/>
          <w:sz w:val="24"/>
          <w:szCs w:val="24"/>
        </w:rPr>
        <w:t xml:space="preserve">the external information channel. </w:t>
      </w:r>
    </w:p>
    <w:p w14:paraId="32CFC154" w14:textId="77777777" w:rsidR="009501C2" w:rsidRDefault="009501C2" w:rsidP="005F310C">
      <w:pPr>
        <w:spacing w:after="0" w:line="480" w:lineRule="auto"/>
        <w:ind w:firstLine="360"/>
        <w:rPr>
          <w:rFonts w:ascii="Times New Roman" w:hAnsi="Times New Roman" w:cs="Times New Roman"/>
          <w:sz w:val="24"/>
          <w:szCs w:val="24"/>
        </w:rPr>
      </w:pPr>
    </w:p>
    <w:p w14:paraId="24092C99" w14:textId="19C75F94" w:rsidR="00456DC6" w:rsidRPr="0010522F" w:rsidRDefault="00456DC6" w:rsidP="006F2B57">
      <w:pPr>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7.3 Internal </w:t>
      </w:r>
      <w:r w:rsidRPr="0010522F">
        <w:rPr>
          <w:rFonts w:ascii="Times New Roman" w:hAnsi="Times New Roman" w:cs="Times New Roman"/>
          <w:i/>
          <w:sz w:val="24"/>
          <w:szCs w:val="24"/>
        </w:rPr>
        <w:t>Learning Channel</w:t>
      </w:r>
    </w:p>
    <w:p w14:paraId="0F00B84C" w14:textId="682191D0" w:rsidR="00456DC6" w:rsidRDefault="00456DC6" w:rsidP="00502F7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Finally, following Bader</w:t>
      </w:r>
      <w:r w:rsidR="00766622">
        <w:rPr>
          <w:rFonts w:ascii="Times New Roman" w:hAnsi="Times New Roman" w:cs="Times New Roman"/>
          <w:sz w:val="24"/>
          <w:szCs w:val="24"/>
        </w:rPr>
        <w:t>t</w:t>
      </w:r>
      <w:r w:rsidR="00CE755A">
        <w:rPr>
          <w:rFonts w:ascii="Times New Roman" w:hAnsi="Times New Roman" w:cs="Times New Roman"/>
          <w:sz w:val="24"/>
          <w:szCs w:val="24"/>
        </w:rPr>
        <w:t>scher</w:t>
      </w:r>
      <w:r w:rsidR="00BE1347">
        <w:rPr>
          <w:rFonts w:ascii="Times New Roman" w:hAnsi="Times New Roman" w:cs="Times New Roman"/>
          <w:sz w:val="24"/>
          <w:szCs w:val="24"/>
        </w:rPr>
        <w:t>, Shroff and White</w:t>
      </w:r>
      <w:r>
        <w:rPr>
          <w:rFonts w:ascii="Times New Roman" w:hAnsi="Times New Roman" w:cs="Times New Roman"/>
          <w:sz w:val="24"/>
          <w:szCs w:val="24"/>
        </w:rPr>
        <w:t xml:space="preserve"> (201</w:t>
      </w:r>
      <w:r w:rsidR="00CE755A">
        <w:rPr>
          <w:rFonts w:ascii="Times New Roman" w:hAnsi="Times New Roman" w:cs="Times New Roman"/>
          <w:sz w:val="24"/>
          <w:szCs w:val="24"/>
        </w:rPr>
        <w:t>3</w:t>
      </w:r>
      <w:r>
        <w:rPr>
          <w:rFonts w:ascii="Times New Roman" w:hAnsi="Times New Roman" w:cs="Times New Roman"/>
          <w:sz w:val="24"/>
          <w:szCs w:val="24"/>
        </w:rPr>
        <w:t>), we in</w:t>
      </w:r>
      <w:r w:rsidR="00766622">
        <w:rPr>
          <w:rFonts w:ascii="Times New Roman" w:hAnsi="Times New Roman" w:cs="Times New Roman"/>
          <w:sz w:val="24"/>
          <w:szCs w:val="24"/>
        </w:rPr>
        <w:t xml:space="preserve">vestigate the </w:t>
      </w:r>
      <w:r w:rsidR="00E55E51">
        <w:rPr>
          <w:rFonts w:ascii="Times New Roman" w:hAnsi="Times New Roman" w:cs="Times New Roman"/>
          <w:sz w:val="24"/>
          <w:szCs w:val="24"/>
        </w:rPr>
        <w:t xml:space="preserve">internal </w:t>
      </w:r>
      <w:r w:rsidR="00766622">
        <w:rPr>
          <w:rFonts w:ascii="Times New Roman" w:hAnsi="Times New Roman" w:cs="Times New Roman"/>
          <w:sz w:val="24"/>
          <w:szCs w:val="24"/>
        </w:rPr>
        <w:t>learning channel</w:t>
      </w:r>
      <w:r>
        <w:rPr>
          <w:rFonts w:ascii="Times New Roman" w:hAnsi="Times New Roman" w:cs="Times New Roman"/>
          <w:sz w:val="24"/>
          <w:szCs w:val="24"/>
        </w:rPr>
        <w:t xml:space="preserve"> by comparing the change in investment efficiency around IFRS adoption for capitalizers vs switchers</w:t>
      </w:r>
      <w:r w:rsidR="004C23C1">
        <w:rPr>
          <w:rFonts w:ascii="Times New Roman" w:hAnsi="Times New Roman" w:cs="Times New Roman"/>
          <w:sz w:val="24"/>
          <w:szCs w:val="24"/>
        </w:rPr>
        <w:t xml:space="preserve">, where investment efficiency is captured by the sensitivity of investment (R&amp;D growth in our case) to sales growth. </w:t>
      </w:r>
      <w:r w:rsidR="00E55E51">
        <w:rPr>
          <w:rFonts w:ascii="Times New Roman" w:hAnsi="Times New Roman" w:cs="Times New Roman"/>
          <w:sz w:val="24"/>
          <w:szCs w:val="24"/>
        </w:rPr>
        <w:t xml:space="preserve">The model is: </w:t>
      </w:r>
    </w:p>
    <w:p w14:paraId="25F55786" w14:textId="1CBDE2CE" w:rsidR="00996DA9" w:rsidRDefault="00196E01" w:rsidP="00996DA9">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996DA9" w:rsidRPr="00C11785">
        <w:rPr>
          <w:rFonts w:ascii="Times New Roman" w:hAnsi="Times New Roman" w:cs="Times New Roman"/>
          <w:sz w:val="24"/>
          <w:szCs w:val="24"/>
        </w:rPr>
        <w:t>R&amp;D</w:t>
      </w:r>
      <w:r w:rsidR="00996DA9">
        <w:rPr>
          <w:rFonts w:ascii="Times New Roman" w:hAnsi="Times New Roman" w:cs="Times New Roman"/>
          <w:sz w:val="24"/>
          <w:szCs w:val="24"/>
        </w:rPr>
        <w:t xml:space="preserve"> Growth = </w:t>
      </w:r>
      <w:r w:rsidR="005C4678">
        <w:rPr>
          <w:rFonts w:ascii="Symbol" w:hAnsi="Symbol" w:cs="Times New Roman"/>
          <w:sz w:val="24"/>
          <w:szCs w:val="24"/>
        </w:rPr>
        <w:t></w:t>
      </w:r>
      <w:r w:rsidR="00996DA9" w:rsidRPr="00DF2E72">
        <w:rPr>
          <w:rFonts w:ascii="Times New Roman" w:hAnsi="Times New Roman" w:cs="Times New Roman"/>
          <w:sz w:val="24"/>
          <w:szCs w:val="24"/>
          <w:vertAlign w:val="subscript"/>
        </w:rPr>
        <w:t xml:space="preserve">0 </w:t>
      </w:r>
      <w:r w:rsidR="00996DA9">
        <w:rPr>
          <w:rFonts w:ascii="Times New Roman" w:hAnsi="Times New Roman" w:cs="Times New Roman"/>
          <w:sz w:val="24"/>
          <w:szCs w:val="24"/>
        </w:rPr>
        <w:t>+ ∑</w:t>
      </w:r>
      <w:r w:rsidR="00996DA9" w:rsidRPr="0012154E">
        <w:rPr>
          <w:rFonts w:ascii="Times New Roman" w:hAnsi="Times New Roman" w:cs="Times New Roman"/>
          <w:sz w:val="24"/>
          <w:szCs w:val="24"/>
          <w:vertAlign w:val="subscript"/>
        </w:rPr>
        <w:t xml:space="preserve">t </w:t>
      </w:r>
      <w:r w:rsidR="00996DA9">
        <w:rPr>
          <w:rFonts w:ascii="Symbol" w:hAnsi="Symbol" w:cs="Times New Roman"/>
          <w:sz w:val="24"/>
          <w:szCs w:val="24"/>
        </w:rPr>
        <w:t></w:t>
      </w:r>
      <w:r w:rsidR="00996DA9" w:rsidRPr="0012154E">
        <w:rPr>
          <w:rFonts w:ascii="Times New Roman" w:hAnsi="Times New Roman" w:cs="Times New Roman"/>
          <w:sz w:val="24"/>
          <w:szCs w:val="24"/>
          <w:vertAlign w:val="subscript"/>
        </w:rPr>
        <w:t>t</w:t>
      </w:r>
      <w:r w:rsidR="00996DA9">
        <w:rPr>
          <w:rFonts w:ascii="Times New Roman" w:hAnsi="Times New Roman" w:cs="Times New Roman"/>
          <w:sz w:val="24"/>
          <w:szCs w:val="24"/>
        </w:rPr>
        <w:t>SWITCH*</w:t>
      </w:r>
      <w:r w:rsidR="00C56725">
        <w:rPr>
          <w:rFonts w:ascii="Times New Roman" w:hAnsi="Times New Roman" w:cs="Times New Roman"/>
          <w:sz w:val="24"/>
          <w:szCs w:val="24"/>
        </w:rPr>
        <w:t>IFRS</w:t>
      </w:r>
      <w:r w:rsidR="00C56725">
        <w:rPr>
          <w:rFonts w:ascii="Times New Roman" w:hAnsi="Times New Roman" w:cs="Times New Roman"/>
          <w:sz w:val="24"/>
          <w:szCs w:val="24"/>
          <w:vertAlign w:val="subscript"/>
        </w:rPr>
        <w:t>t</w:t>
      </w:r>
      <w:r w:rsidR="00996DA9" w:rsidRPr="0012154E">
        <w:rPr>
          <w:rFonts w:ascii="Times New Roman" w:hAnsi="Times New Roman" w:cs="Times New Roman"/>
          <w:sz w:val="24"/>
          <w:szCs w:val="24"/>
          <w:vertAlign w:val="subscript"/>
        </w:rPr>
        <w:t xml:space="preserve"> </w:t>
      </w:r>
      <w:r w:rsidR="00996DA9">
        <w:rPr>
          <w:rFonts w:ascii="Times New Roman" w:hAnsi="Times New Roman" w:cs="Times New Roman"/>
          <w:sz w:val="24"/>
          <w:szCs w:val="24"/>
        </w:rPr>
        <w:t xml:space="preserve">+ </w:t>
      </w:r>
      <w:r w:rsidR="00996DA9">
        <w:rPr>
          <w:rFonts w:ascii="Symbol" w:hAnsi="Symbol" w:cs="Times New Roman"/>
          <w:sz w:val="24"/>
          <w:szCs w:val="24"/>
        </w:rPr>
        <w:t></w:t>
      </w:r>
      <w:r w:rsidR="005C4678">
        <w:rPr>
          <w:rFonts w:ascii="Times New Roman" w:hAnsi="Times New Roman" w:cs="Times New Roman"/>
          <w:sz w:val="24"/>
          <w:szCs w:val="24"/>
          <w:vertAlign w:val="subscript"/>
        </w:rPr>
        <w:t>4</w:t>
      </w:r>
      <w:r w:rsidR="00996DA9">
        <w:rPr>
          <w:rFonts w:ascii="Times New Roman" w:hAnsi="Times New Roman" w:cs="Times New Roman"/>
          <w:sz w:val="24"/>
          <w:szCs w:val="24"/>
        </w:rPr>
        <w:t>SWITCH*POST*S</w:t>
      </w:r>
      <w:r w:rsidR="00EE37C3">
        <w:rPr>
          <w:rFonts w:ascii="Times New Roman" w:hAnsi="Times New Roman" w:cs="Times New Roman"/>
          <w:sz w:val="24"/>
          <w:szCs w:val="24"/>
        </w:rPr>
        <w:t>ALES_GROWTH</w:t>
      </w:r>
      <w:r w:rsidR="00996DA9">
        <w:rPr>
          <w:rFonts w:ascii="Times New Roman" w:hAnsi="Times New Roman" w:cs="Times New Roman"/>
          <w:sz w:val="24"/>
          <w:szCs w:val="24"/>
          <w:vertAlign w:val="subscript"/>
        </w:rPr>
        <w:t>t</w:t>
      </w:r>
      <w:r w:rsidR="00996DA9">
        <w:rPr>
          <w:rFonts w:ascii="Times New Roman" w:hAnsi="Times New Roman" w:cs="Times New Roman"/>
          <w:sz w:val="24"/>
          <w:szCs w:val="24"/>
        </w:rPr>
        <w:t xml:space="preserve"> </w:t>
      </w:r>
    </w:p>
    <w:p w14:paraId="7E581B7D" w14:textId="77777777" w:rsidR="00961D6C" w:rsidRDefault="00196E01" w:rsidP="00961D6C">
      <w:pPr>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ab/>
      </w:r>
      <w:r w:rsidR="00996DA9">
        <w:rPr>
          <w:rFonts w:ascii="Times New Roman" w:hAnsi="Times New Roman" w:cs="Times New Roman"/>
          <w:sz w:val="24"/>
          <w:szCs w:val="24"/>
        </w:rPr>
        <w:t xml:space="preserve">+ </w:t>
      </w:r>
      <w:r w:rsidR="00996DA9">
        <w:rPr>
          <w:rFonts w:ascii="Symbol" w:hAnsi="Symbol" w:cs="Times New Roman"/>
          <w:sz w:val="24"/>
          <w:szCs w:val="24"/>
        </w:rPr>
        <w:t></w:t>
      </w:r>
      <w:r w:rsidR="005C4678">
        <w:rPr>
          <w:rFonts w:ascii="Times New Roman" w:hAnsi="Times New Roman" w:cs="Times New Roman"/>
          <w:sz w:val="24"/>
          <w:szCs w:val="24"/>
          <w:vertAlign w:val="subscript"/>
        </w:rPr>
        <w:t>5</w:t>
      </w:r>
      <w:r w:rsidR="00996DA9">
        <w:rPr>
          <w:rFonts w:ascii="Times New Roman" w:hAnsi="Times New Roman" w:cs="Times New Roman"/>
          <w:sz w:val="24"/>
          <w:szCs w:val="24"/>
        </w:rPr>
        <w:t>POST*S</w:t>
      </w:r>
      <w:r w:rsidR="00EE37C3">
        <w:rPr>
          <w:rFonts w:ascii="Times New Roman" w:hAnsi="Times New Roman" w:cs="Times New Roman"/>
          <w:sz w:val="24"/>
          <w:szCs w:val="24"/>
        </w:rPr>
        <w:t>ALES_GROWTH</w:t>
      </w:r>
      <w:r w:rsidR="00996DA9">
        <w:rPr>
          <w:rFonts w:ascii="Times New Roman" w:hAnsi="Times New Roman" w:cs="Times New Roman"/>
          <w:sz w:val="24"/>
          <w:szCs w:val="24"/>
          <w:vertAlign w:val="subscript"/>
        </w:rPr>
        <w:t>t</w:t>
      </w:r>
      <w:r w:rsidR="00996DA9">
        <w:rPr>
          <w:rFonts w:ascii="Times New Roman" w:hAnsi="Times New Roman" w:cs="Times New Roman"/>
          <w:sz w:val="24"/>
          <w:szCs w:val="24"/>
        </w:rPr>
        <w:t xml:space="preserve"> + </w:t>
      </w:r>
      <w:r w:rsidR="00996DA9">
        <w:rPr>
          <w:rFonts w:ascii="Symbol" w:hAnsi="Symbol" w:cs="Times New Roman"/>
          <w:sz w:val="24"/>
          <w:szCs w:val="24"/>
        </w:rPr>
        <w:t></w:t>
      </w:r>
      <w:r w:rsidR="005C4678">
        <w:rPr>
          <w:rFonts w:ascii="Times New Roman" w:hAnsi="Times New Roman" w:cs="Times New Roman"/>
          <w:sz w:val="24"/>
          <w:szCs w:val="24"/>
          <w:vertAlign w:val="subscript"/>
        </w:rPr>
        <w:t>6</w:t>
      </w:r>
      <w:r w:rsidR="00996DA9">
        <w:rPr>
          <w:rFonts w:ascii="Times New Roman" w:hAnsi="Times New Roman" w:cs="Times New Roman"/>
          <w:sz w:val="24"/>
          <w:szCs w:val="24"/>
        </w:rPr>
        <w:t>SWITCH*S</w:t>
      </w:r>
      <w:r w:rsidR="00EE37C3">
        <w:rPr>
          <w:rFonts w:ascii="Times New Roman" w:hAnsi="Times New Roman" w:cs="Times New Roman"/>
          <w:sz w:val="24"/>
          <w:szCs w:val="24"/>
        </w:rPr>
        <w:t>ALES_GROWTH</w:t>
      </w:r>
      <w:r w:rsidR="00996DA9">
        <w:rPr>
          <w:rFonts w:ascii="Times New Roman" w:hAnsi="Times New Roman" w:cs="Times New Roman"/>
          <w:sz w:val="24"/>
          <w:szCs w:val="24"/>
          <w:vertAlign w:val="subscript"/>
        </w:rPr>
        <w:t xml:space="preserve">t </w:t>
      </w:r>
      <w:r w:rsidR="00996DA9">
        <w:rPr>
          <w:rFonts w:ascii="Times New Roman" w:hAnsi="Times New Roman" w:cs="Times New Roman"/>
          <w:sz w:val="24"/>
          <w:szCs w:val="24"/>
        </w:rPr>
        <w:t xml:space="preserve"> </w:t>
      </w:r>
    </w:p>
    <w:p w14:paraId="0894ACE1" w14:textId="0F070098" w:rsidR="00177500" w:rsidRDefault="00961D6C" w:rsidP="00961D6C">
      <w:pPr>
        <w:tabs>
          <w:tab w:val="left" w:pos="72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ab/>
      </w:r>
      <w:r w:rsidR="002B5121">
        <w:rPr>
          <w:rFonts w:ascii="Times New Roman" w:hAnsi="Times New Roman" w:cs="Times New Roman"/>
          <w:sz w:val="24"/>
          <w:szCs w:val="24"/>
        </w:rPr>
        <w:t>+ ∑</w:t>
      </w:r>
      <w:r w:rsidR="002B5121" w:rsidRPr="0012154E">
        <w:rPr>
          <w:rFonts w:ascii="Times New Roman" w:hAnsi="Times New Roman" w:cs="Times New Roman"/>
          <w:sz w:val="24"/>
          <w:szCs w:val="24"/>
          <w:vertAlign w:val="subscript"/>
        </w:rPr>
        <w:t>i</w:t>
      </w:r>
      <w:r w:rsidR="002B5121">
        <w:rPr>
          <w:rFonts w:ascii="Symbol" w:hAnsi="Symbol" w:cs="Times New Roman"/>
          <w:sz w:val="24"/>
          <w:szCs w:val="24"/>
        </w:rPr>
        <w:sym w:font="Symbol" w:char="F046"/>
      </w:r>
      <w:r w:rsidR="002B5121">
        <w:rPr>
          <w:rFonts w:ascii="Times New Roman" w:hAnsi="Times New Roman" w:cs="Times New Roman"/>
          <w:sz w:val="24"/>
          <w:szCs w:val="24"/>
          <w:vertAlign w:val="subscript"/>
        </w:rPr>
        <w:t>i</w:t>
      </w:r>
      <w:r w:rsidR="002B5121">
        <w:rPr>
          <w:rFonts w:ascii="Times New Roman" w:hAnsi="Times New Roman" w:cs="Times New Roman"/>
          <w:sz w:val="24"/>
          <w:szCs w:val="24"/>
        </w:rPr>
        <w:t>Control</w:t>
      </w:r>
      <w:r w:rsidR="002B5121" w:rsidRPr="0012154E">
        <w:rPr>
          <w:rFonts w:ascii="Times New Roman" w:hAnsi="Times New Roman" w:cs="Times New Roman"/>
          <w:sz w:val="24"/>
          <w:szCs w:val="24"/>
          <w:vertAlign w:val="subscript"/>
        </w:rPr>
        <w:t xml:space="preserve">i </w:t>
      </w:r>
      <w:r w:rsidR="002B5121">
        <w:rPr>
          <w:rFonts w:ascii="Times New Roman" w:hAnsi="Times New Roman" w:cs="Times New Roman"/>
          <w:sz w:val="24"/>
          <w:szCs w:val="24"/>
        </w:rPr>
        <w:t xml:space="preserve">+ </w:t>
      </w:r>
      <w:r w:rsidR="00996DA9">
        <w:rPr>
          <w:rFonts w:ascii="Times New Roman" w:hAnsi="Times New Roman" w:cs="Times New Roman"/>
          <w:sz w:val="24"/>
          <w:szCs w:val="24"/>
        </w:rPr>
        <w:t xml:space="preserve">firm fixed effects + year fixed effects + </w:t>
      </w:r>
      <w:r w:rsidR="00996DA9" w:rsidRPr="001A5196">
        <w:rPr>
          <w:rFonts w:ascii="Symbol" w:hAnsi="Symbol" w:cs="Times New Roman"/>
          <w:sz w:val="24"/>
          <w:szCs w:val="24"/>
        </w:rPr>
        <w:t></w:t>
      </w:r>
      <w:r w:rsidR="00996DA9">
        <w:rPr>
          <w:rFonts w:ascii="Times New Roman" w:hAnsi="Times New Roman" w:cs="Times New Roman"/>
          <w:sz w:val="24"/>
          <w:szCs w:val="24"/>
        </w:rPr>
        <w:t xml:space="preserve">  </w:t>
      </w:r>
      <w:r>
        <w:rPr>
          <w:rFonts w:ascii="Times New Roman" w:hAnsi="Times New Roman" w:cs="Times New Roman"/>
          <w:sz w:val="24"/>
          <w:szCs w:val="24"/>
        </w:rPr>
        <w:t xml:space="preserve">               </w:t>
      </w:r>
      <w:r w:rsidR="00996DA9">
        <w:rPr>
          <w:rFonts w:ascii="Times New Roman" w:hAnsi="Times New Roman" w:cs="Times New Roman"/>
          <w:sz w:val="24"/>
          <w:szCs w:val="24"/>
        </w:rPr>
        <w:t xml:space="preserve"> </w:t>
      </w:r>
      <w:r>
        <w:rPr>
          <w:rFonts w:ascii="Times New Roman" w:hAnsi="Times New Roman" w:cs="Times New Roman"/>
          <w:sz w:val="24"/>
          <w:szCs w:val="24"/>
        </w:rPr>
        <w:t>(8)</w:t>
      </w:r>
    </w:p>
    <w:p w14:paraId="7EF55CC8" w14:textId="33798FEB" w:rsidR="00996DA9" w:rsidRDefault="00996DA9" w:rsidP="00996DA9">
      <w:pPr>
        <w:tabs>
          <w:tab w:val="left" w:pos="720"/>
        </w:tabs>
        <w:spacing w:after="0" w:line="240" w:lineRule="auto"/>
        <w:rPr>
          <w:rFonts w:ascii="Times New Roman" w:hAnsi="Times New Roman"/>
          <w:sz w:val="24"/>
          <w:szCs w:val="24"/>
        </w:rPr>
      </w:pPr>
      <w:r>
        <w:rPr>
          <w:rFonts w:ascii="Times New Roman" w:hAnsi="Times New Roman" w:cs="Times New Roman"/>
          <w:sz w:val="24"/>
          <w:szCs w:val="24"/>
        </w:rPr>
        <w:t xml:space="preserve"> </w:t>
      </w:r>
      <w:r w:rsidR="00177500">
        <w:rPr>
          <w:rFonts w:ascii="Times New Roman" w:hAnsi="Times New Roman" w:cs="Times New Roman"/>
          <w:sz w:val="24"/>
          <w:szCs w:val="24"/>
        </w:rPr>
        <w:tab/>
      </w:r>
      <w:r>
        <w:rPr>
          <w:rFonts w:ascii="Times New Roman" w:hAnsi="Times New Roman" w:cs="Times New Roman"/>
          <w:sz w:val="24"/>
          <w:szCs w:val="24"/>
        </w:rPr>
        <w:t xml:space="preserve">   </w:t>
      </w:r>
    </w:p>
    <w:p w14:paraId="29AAFB1D" w14:textId="339A04D6" w:rsidR="00456DC6" w:rsidRPr="00177500" w:rsidRDefault="00E55E51" w:rsidP="00312EED">
      <w:pPr>
        <w:spacing w:after="0" w:line="480" w:lineRule="auto"/>
        <w:ind w:firstLine="360"/>
        <w:jc w:val="both"/>
        <w:rPr>
          <w:rFonts w:ascii="Times New Roman" w:hAnsi="Times New Roman" w:cs="Times New Roman"/>
          <w:sz w:val="24"/>
          <w:szCs w:val="24"/>
        </w:rPr>
      </w:pPr>
      <w:r w:rsidRPr="00177500">
        <w:rPr>
          <w:rFonts w:ascii="Times New Roman" w:hAnsi="Times New Roman" w:cs="Times New Roman"/>
          <w:sz w:val="24"/>
          <w:szCs w:val="24"/>
        </w:rPr>
        <w:t xml:space="preserve">Our coefficient of interest is </w:t>
      </w:r>
      <w:r w:rsidRPr="00177500">
        <w:rPr>
          <w:rFonts w:ascii="Symbol" w:hAnsi="Symbol" w:cs="Times New Roman"/>
          <w:sz w:val="24"/>
          <w:szCs w:val="24"/>
        </w:rPr>
        <w:t></w:t>
      </w:r>
      <w:r w:rsidR="005C4678">
        <w:rPr>
          <w:rFonts w:ascii="Times New Roman" w:hAnsi="Times New Roman" w:cs="Times New Roman"/>
          <w:sz w:val="24"/>
          <w:szCs w:val="24"/>
          <w:vertAlign w:val="subscript"/>
        </w:rPr>
        <w:t>4</w:t>
      </w:r>
      <w:r w:rsidRPr="00177500">
        <w:rPr>
          <w:rFonts w:ascii="Times New Roman" w:hAnsi="Times New Roman" w:cs="Times New Roman"/>
          <w:sz w:val="24"/>
          <w:szCs w:val="24"/>
        </w:rPr>
        <w:t xml:space="preserve">. If </w:t>
      </w:r>
      <w:r w:rsidR="00A51D4E" w:rsidRPr="009A2383">
        <w:rPr>
          <w:rFonts w:ascii="Times New Roman" w:hAnsi="Times New Roman" w:cs="Times New Roman"/>
          <w:sz w:val="24"/>
          <w:szCs w:val="24"/>
        </w:rPr>
        <w:t>capitalization provides switchers with new information, we expect</w:t>
      </w:r>
      <w:r w:rsidR="00A51D4E">
        <w:rPr>
          <w:rFonts w:ascii="Times New Roman" w:hAnsi="Times New Roman" w:cs="Times New Roman"/>
          <w:sz w:val="24"/>
          <w:szCs w:val="24"/>
        </w:rPr>
        <w:t xml:space="preserve"> </w:t>
      </w:r>
      <w:r w:rsidRPr="00177500">
        <w:rPr>
          <w:rFonts w:ascii="Symbol" w:hAnsi="Symbol" w:cs="Times New Roman"/>
          <w:sz w:val="24"/>
          <w:szCs w:val="24"/>
        </w:rPr>
        <w:t></w:t>
      </w:r>
      <w:r w:rsidR="005C4678">
        <w:rPr>
          <w:rFonts w:ascii="Times New Roman" w:hAnsi="Times New Roman" w:cs="Times New Roman"/>
          <w:sz w:val="24"/>
          <w:szCs w:val="24"/>
          <w:vertAlign w:val="subscript"/>
        </w:rPr>
        <w:t>4</w:t>
      </w:r>
      <w:r w:rsidR="00A51D4E">
        <w:rPr>
          <w:rFonts w:ascii="Times New Roman" w:hAnsi="Times New Roman" w:cs="Times New Roman"/>
          <w:sz w:val="24"/>
          <w:szCs w:val="24"/>
        </w:rPr>
        <w:t xml:space="preserve"> to be positive, implying an increase in the sensitivity of their R&amp;D investment to sales growth. The results are shown in Table 1</w:t>
      </w:r>
      <w:r w:rsidR="005B0A84">
        <w:rPr>
          <w:rFonts w:ascii="Times New Roman" w:hAnsi="Times New Roman" w:cs="Times New Roman"/>
          <w:sz w:val="24"/>
          <w:szCs w:val="24"/>
        </w:rPr>
        <w:t>3</w:t>
      </w:r>
      <w:r w:rsidR="00A51D4E">
        <w:rPr>
          <w:rFonts w:ascii="Times New Roman" w:hAnsi="Times New Roman" w:cs="Times New Roman"/>
          <w:sz w:val="24"/>
          <w:szCs w:val="24"/>
        </w:rPr>
        <w:t xml:space="preserve">. </w:t>
      </w:r>
      <w:r w:rsidR="00A51D4E" w:rsidRPr="009A2383">
        <w:rPr>
          <w:rFonts w:ascii="Symbol" w:hAnsi="Symbol" w:cs="Times New Roman"/>
          <w:sz w:val="24"/>
          <w:szCs w:val="24"/>
        </w:rPr>
        <w:t></w:t>
      </w:r>
      <w:r w:rsidR="005C4678">
        <w:rPr>
          <w:rFonts w:ascii="Times New Roman" w:hAnsi="Times New Roman" w:cs="Times New Roman"/>
          <w:sz w:val="24"/>
          <w:szCs w:val="24"/>
          <w:vertAlign w:val="subscript"/>
        </w:rPr>
        <w:t>4</w:t>
      </w:r>
      <w:r w:rsidR="00A51D4E" w:rsidRPr="009A2383">
        <w:rPr>
          <w:rFonts w:ascii="Times New Roman" w:hAnsi="Times New Roman" w:cs="Times New Roman"/>
          <w:sz w:val="24"/>
          <w:szCs w:val="24"/>
        </w:rPr>
        <w:t xml:space="preserve"> </w:t>
      </w:r>
      <w:r w:rsidR="00A51D4E">
        <w:rPr>
          <w:rFonts w:ascii="Times New Roman" w:hAnsi="Times New Roman" w:cs="Times New Roman"/>
          <w:sz w:val="24"/>
          <w:szCs w:val="24"/>
        </w:rPr>
        <w:t>is significantly positive for all three R&amp;D metrics, indicating that switchers’ experienced an increase in investment efficiency relative to capitalizers, consistent with switchers learning ab</w:t>
      </w:r>
      <w:r w:rsidR="00177500">
        <w:rPr>
          <w:rFonts w:ascii="Times New Roman" w:hAnsi="Times New Roman" w:cs="Times New Roman"/>
          <w:sz w:val="24"/>
          <w:szCs w:val="24"/>
        </w:rPr>
        <w:t>out their internal R&amp;D projects</w:t>
      </w:r>
      <w:r w:rsidR="00A51D4E">
        <w:rPr>
          <w:rFonts w:ascii="Times New Roman" w:hAnsi="Times New Roman" w:cs="Times New Roman"/>
          <w:sz w:val="24"/>
          <w:szCs w:val="24"/>
        </w:rPr>
        <w:t xml:space="preserve"> from the switch.</w:t>
      </w:r>
      <w:r w:rsidR="00A54953">
        <w:rPr>
          <w:rStyle w:val="FootnoteReference"/>
          <w:rFonts w:ascii="Times New Roman" w:hAnsi="Times New Roman" w:cs="Times New Roman"/>
          <w:sz w:val="24"/>
          <w:szCs w:val="24"/>
        </w:rPr>
        <w:footnoteReference w:id="26"/>
      </w:r>
      <w:r w:rsidR="00A51D4E">
        <w:rPr>
          <w:rFonts w:ascii="Times New Roman" w:hAnsi="Times New Roman" w:cs="Times New Roman"/>
          <w:sz w:val="24"/>
          <w:szCs w:val="24"/>
        </w:rPr>
        <w:t xml:space="preserve"> </w:t>
      </w:r>
      <w:r w:rsidR="00177500">
        <w:rPr>
          <w:rFonts w:ascii="Times New Roman" w:hAnsi="Times New Roman" w:cs="Times New Roman"/>
          <w:sz w:val="24"/>
          <w:szCs w:val="24"/>
        </w:rPr>
        <w:t>This suggests that because expensers do not have to disclose information about the nature of their R&amp;D expenditures, amortization, obsolescence, etc., they might not track this important information.</w:t>
      </w:r>
      <w:r w:rsidR="007A712D">
        <w:rPr>
          <w:rStyle w:val="FootnoteReference"/>
          <w:rFonts w:ascii="Times New Roman" w:hAnsi="Times New Roman" w:cs="Times New Roman"/>
          <w:sz w:val="24"/>
          <w:szCs w:val="24"/>
        </w:rPr>
        <w:footnoteReference w:id="27"/>
      </w:r>
    </w:p>
    <w:p w14:paraId="1FD0B318" w14:textId="7EBC5395" w:rsidR="005F310C" w:rsidRDefault="00853C05" w:rsidP="00312EED">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summary, we find </w:t>
      </w:r>
      <w:r w:rsidR="00177500">
        <w:rPr>
          <w:rFonts w:ascii="Times New Roman" w:hAnsi="Times New Roman" w:cs="Times New Roman"/>
          <w:sz w:val="24"/>
          <w:szCs w:val="24"/>
        </w:rPr>
        <w:t xml:space="preserve">evidence consistent with the switch to capitalization leading to an increase in R&amp;D expenditures through </w:t>
      </w:r>
      <w:r w:rsidR="003720B9">
        <w:rPr>
          <w:rFonts w:ascii="Times New Roman" w:hAnsi="Times New Roman" w:cs="Times New Roman"/>
          <w:sz w:val="24"/>
          <w:szCs w:val="24"/>
        </w:rPr>
        <w:t>multiple</w:t>
      </w:r>
      <w:r w:rsidR="00177500">
        <w:rPr>
          <w:rFonts w:ascii="Times New Roman" w:hAnsi="Times New Roman" w:cs="Times New Roman"/>
          <w:sz w:val="24"/>
          <w:szCs w:val="24"/>
        </w:rPr>
        <w:t xml:space="preserve"> mechanisms: </w:t>
      </w:r>
      <w:r w:rsidR="00F421D9">
        <w:rPr>
          <w:rFonts w:ascii="Times New Roman" w:hAnsi="Times New Roman" w:cs="Times New Roman"/>
          <w:sz w:val="24"/>
          <w:szCs w:val="24"/>
        </w:rPr>
        <w:t>profitability</w:t>
      </w:r>
      <w:r w:rsidR="00177500">
        <w:rPr>
          <w:rFonts w:ascii="Times New Roman" w:hAnsi="Times New Roman" w:cs="Times New Roman"/>
          <w:sz w:val="24"/>
          <w:szCs w:val="24"/>
        </w:rPr>
        <w:t xml:space="preserve">, </w:t>
      </w:r>
      <w:r w:rsidR="00F421D9">
        <w:rPr>
          <w:rFonts w:ascii="Times New Roman" w:hAnsi="Times New Roman" w:cs="Times New Roman"/>
          <w:sz w:val="24"/>
          <w:szCs w:val="24"/>
        </w:rPr>
        <w:t>external information</w:t>
      </w:r>
      <w:r w:rsidR="00497FE3">
        <w:rPr>
          <w:rFonts w:ascii="Times New Roman" w:hAnsi="Times New Roman" w:cs="Times New Roman"/>
          <w:sz w:val="24"/>
          <w:szCs w:val="24"/>
        </w:rPr>
        <w:t xml:space="preserve">, and internal learning </w:t>
      </w:r>
      <w:r>
        <w:rPr>
          <w:rFonts w:ascii="Times New Roman" w:hAnsi="Times New Roman" w:cs="Times New Roman"/>
          <w:sz w:val="24"/>
          <w:szCs w:val="24"/>
        </w:rPr>
        <w:t>channels</w:t>
      </w:r>
      <w:r w:rsidR="00177500">
        <w:rPr>
          <w:rFonts w:ascii="Times New Roman" w:hAnsi="Times New Roman" w:cs="Times New Roman"/>
          <w:sz w:val="24"/>
          <w:szCs w:val="24"/>
        </w:rPr>
        <w:t xml:space="preserve">. </w:t>
      </w:r>
    </w:p>
    <w:p w14:paraId="265630A4" w14:textId="1AAE8C75" w:rsidR="007F6C8D" w:rsidRDefault="007F6C8D" w:rsidP="00985B47">
      <w:pPr>
        <w:spacing w:after="0" w:line="480" w:lineRule="auto"/>
        <w:ind w:firstLine="567"/>
        <w:rPr>
          <w:rFonts w:ascii="Times New Roman" w:hAnsi="Times New Roman" w:cs="Times New Roman"/>
          <w:sz w:val="24"/>
          <w:szCs w:val="24"/>
        </w:rPr>
      </w:pPr>
    </w:p>
    <w:p w14:paraId="2F88EE1A" w14:textId="57A713CB" w:rsidR="00F67D90" w:rsidRPr="00967D47" w:rsidRDefault="007F6C8D" w:rsidP="00985B47">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8. </w:t>
      </w:r>
      <w:r w:rsidR="00F67D90" w:rsidRPr="00967D47">
        <w:rPr>
          <w:rFonts w:ascii="Times New Roman" w:hAnsi="Times New Roman" w:cs="Times New Roman"/>
          <w:b/>
          <w:sz w:val="24"/>
          <w:szCs w:val="24"/>
        </w:rPr>
        <w:t>Conclusion</w:t>
      </w:r>
    </w:p>
    <w:p w14:paraId="7F28C24B" w14:textId="19A138F9" w:rsidR="002D4204" w:rsidRDefault="00F67D90" w:rsidP="00312EED">
      <w:pPr>
        <w:spacing w:after="0" w:line="480" w:lineRule="auto"/>
        <w:ind w:firstLine="567"/>
        <w:jc w:val="both"/>
        <w:rPr>
          <w:rFonts w:ascii="Times New Roman" w:hAnsi="Times New Roman" w:cs="Times New Roman"/>
          <w:sz w:val="24"/>
          <w:szCs w:val="24"/>
        </w:rPr>
      </w:pPr>
      <w:r w:rsidRPr="00F67D90">
        <w:rPr>
          <w:rFonts w:ascii="Times New Roman" w:hAnsi="Times New Roman" w:cs="Times New Roman"/>
          <w:sz w:val="24"/>
          <w:szCs w:val="24"/>
        </w:rPr>
        <w:t xml:space="preserve">We examine the effect of capitalization vs expensing on UK firms’ R&amp;D expenditures. Our investigation is motivated by the </w:t>
      </w:r>
      <w:r w:rsidR="007802DE">
        <w:rPr>
          <w:rFonts w:ascii="Times New Roman" w:hAnsi="Times New Roman" w:cs="Times New Roman"/>
          <w:sz w:val="24"/>
          <w:szCs w:val="24"/>
        </w:rPr>
        <w:t>UK</w:t>
      </w:r>
      <w:r w:rsidRPr="00F67D90">
        <w:rPr>
          <w:rFonts w:ascii="Times New Roman" w:hAnsi="Times New Roman" w:cs="Times New Roman"/>
          <w:sz w:val="24"/>
          <w:szCs w:val="24"/>
        </w:rPr>
        <w:t xml:space="preserve">’s mandatory switch from </w:t>
      </w:r>
      <w:r w:rsidR="007802DE">
        <w:rPr>
          <w:rFonts w:ascii="Times New Roman" w:hAnsi="Times New Roman" w:cs="Times New Roman"/>
          <w:sz w:val="24"/>
          <w:szCs w:val="24"/>
        </w:rPr>
        <w:t>UK</w:t>
      </w:r>
      <w:r w:rsidRPr="00F67D90">
        <w:rPr>
          <w:rFonts w:ascii="Times New Roman" w:hAnsi="Times New Roman" w:cs="Times New Roman"/>
          <w:sz w:val="24"/>
          <w:szCs w:val="24"/>
        </w:rPr>
        <w:t xml:space="preserve"> GAAP to IFRS in 2005. Under </w:t>
      </w:r>
      <w:r w:rsidR="007802DE">
        <w:rPr>
          <w:rFonts w:ascii="Times New Roman" w:hAnsi="Times New Roman" w:cs="Times New Roman"/>
          <w:sz w:val="24"/>
          <w:szCs w:val="24"/>
        </w:rPr>
        <w:t>UK</w:t>
      </w:r>
      <w:r w:rsidRPr="00F67D90">
        <w:rPr>
          <w:rFonts w:ascii="Times New Roman" w:hAnsi="Times New Roman" w:cs="Times New Roman"/>
          <w:sz w:val="24"/>
          <w:szCs w:val="24"/>
        </w:rPr>
        <w:t xml:space="preserve"> GAAP, firms could elect to expense or capitalize development expenditures, but IFRS mandates capitalization. Thus, “capitalizers” maintained their accounting method, while “switchers” were required to change from expensing to capitalization. Using a difference-in-difference design, we examine the effect of the rule change on the amount of the two groups’ R&amp;D expenditures. Consistent with arguments that expensing’s deleterious effect on income causes firms to reduce their R&amp;D outlays, we find that switching firms increased their R&amp;D expenditures more than firms that continued to capitalize. </w:t>
      </w:r>
    </w:p>
    <w:p w14:paraId="50A17D50" w14:textId="4BA11ED6" w:rsidR="00013F9B" w:rsidRDefault="004B48FC" w:rsidP="00312EED">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We subject our results to numerous robustness tests</w:t>
      </w:r>
      <w:r w:rsidR="005F7861">
        <w:rPr>
          <w:rFonts w:ascii="Times New Roman" w:hAnsi="Times New Roman" w:cs="Times New Roman"/>
          <w:sz w:val="24"/>
          <w:szCs w:val="24"/>
        </w:rPr>
        <w:t>:</w:t>
      </w:r>
      <w:r>
        <w:rPr>
          <w:rFonts w:ascii="Times New Roman" w:hAnsi="Times New Roman" w:cs="Times New Roman"/>
          <w:sz w:val="24"/>
          <w:szCs w:val="24"/>
        </w:rPr>
        <w:t xml:space="preserve"> </w:t>
      </w:r>
      <w:r w:rsidR="00D9052B">
        <w:rPr>
          <w:rFonts w:ascii="Times New Roman" w:hAnsi="Times New Roman" w:cs="Times New Roman"/>
          <w:sz w:val="24"/>
          <w:szCs w:val="24"/>
        </w:rPr>
        <w:t xml:space="preserve">including firms </w:t>
      </w:r>
      <w:r w:rsidR="005F7861">
        <w:rPr>
          <w:rFonts w:ascii="Times New Roman" w:hAnsi="Times New Roman" w:cs="Times New Roman"/>
          <w:sz w:val="24"/>
          <w:szCs w:val="24"/>
        </w:rPr>
        <w:t>that</w:t>
      </w:r>
      <w:r w:rsidR="00D9052B">
        <w:rPr>
          <w:rFonts w:ascii="Times New Roman" w:hAnsi="Times New Roman" w:cs="Times New Roman"/>
          <w:sz w:val="24"/>
          <w:szCs w:val="24"/>
        </w:rPr>
        <w:t xml:space="preserve"> continue to expense their R&amp;D under IFRS, </w:t>
      </w:r>
      <w:r>
        <w:rPr>
          <w:rFonts w:ascii="Times New Roman" w:hAnsi="Times New Roman" w:cs="Times New Roman"/>
          <w:sz w:val="24"/>
          <w:szCs w:val="24"/>
        </w:rPr>
        <w:t xml:space="preserve">comparing early vs late switchers, </w:t>
      </w:r>
      <w:r w:rsidR="00766622">
        <w:rPr>
          <w:rFonts w:ascii="Times New Roman" w:hAnsi="Times New Roman" w:cs="Times New Roman"/>
          <w:sz w:val="24"/>
          <w:szCs w:val="24"/>
        </w:rPr>
        <w:t xml:space="preserve">high growth vs low growth </w:t>
      </w:r>
      <w:r w:rsidRPr="00766622">
        <w:rPr>
          <w:rFonts w:ascii="Times New Roman" w:hAnsi="Times New Roman" w:cs="Times New Roman"/>
          <w:sz w:val="24"/>
          <w:szCs w:val="24"/>
        </w:rPr>
        <w:t xml:space="preserve">switchers, </w:t>
      </w:r>
      <w:r w:rsidR="001C325E" w:rsidRPr="00766622">
        <w:rPr>
          <w:rFonts w:ascii="Times New Roman" w:hAnsi="Times New Roman" w:cs="Times New Roman"/>
          <w:sz w:val="24"/>
          <w:szCs w:val="24"/>
        </w:rPr>
        <w:t>examining R&amp;D behavior in the last year before IFRS adoption</w:t>
      </w:r>
      <w:r w:rsidR="001C325E">
        <w:rPr>
          <w:rFonts w:ascii="Times New Roman" w:hAnsi="Times New Roman" w:cs="Times New Roman"/>
          <w:sz w:val="24"/>
          <w:szCs w:val="24"/>
        </w:rPr>
        <w:t xml:space="preserve">, </w:t>
      </w:r>
      <w:r w:rsidR="00766622">
        <w:rPr>
          <w:rFonts w:ascii="Times New Roman" w:hAnsi="Times New Roman" w:cs="Times New Roman"/>
          <w:sz w:val="24"/>
          <w:szCs w:val="24"/>
        </w:rPr>
        <w:t xml:space="preserve">and </w:t>
      </w:r>
      <w:r w:rsidR="00193587">
        <w:rPr>
          <w:rFonts w:ascii="Times New Roman" w:hAnsi="Times New Roman" w:cs="Times New Roman"/>
          <w:sz w:val="24"/>
          <w:szCs w:val="24"/>
        </w:rPr>
        <w:t>examining the behavior of SG&amp;A expenditures</w:t>
      </w:r>
      <w:r>
        <w:rPr>
          <w:rFonts w:ascii="Times New Roman" w:hAnsi="Times New Roman" w:cs="Times New Roman"/>
          <w:sz w:val="24"/>
          <w:szCs w:val="24"/>
        </w:rPr>
        <w:t xml:space="preserve">. Across all of these tests, our results support the conclusion that the accounting method affects the amount that firms invest in R&amp;D. </w:t>
      </w:r>
      <w:r w:rsidR="00BE7D78">
        <w:rPr>
          <w:rFonts w:ascii="Times New Roman" w:hAnsi="Times New Roman" w:cs="Times New Roman"/>
          <w:sz w:val="24"/>
          <w:szCs w:val="24"/>
        </w:rPr>
        <w:t xml:space="preserve">Moreover, </w:t>
      </w:r>
      <w:r w:rsidR="00B929F4">
        <w:rPr>
          <w:rFonts w:ascii="Times New Roman" w:hAnsi="Times New Roman" w:cs="Times New Roman"/>
          <w:sz w:val="24"/>
          <w:szCs w:val="24"/>
        </w:rPr>
        <w:t xml:space="preserve">we also find evidence that </w:t>
      </w:r>
      <w:r w:rsidR="00BE7D78">
        <w:rPr>
          <w:rFonts w:ascii="Times New Roman" w:hAnsi="Times New Roman" w:cs="Times New Roman"/>
          <w:sz w:val="24"/>
          <w:szCs w:val="24"/>
        </w:rPr>
        <w:t xml:space="preserve">capitalization affects R&amp;D expenditures </w:t>
      </w:r>
      <w:r w:rsidR="00B929F4">
        <w:rPr>
          <w:rFonts w:ascii="Times New Roman" w:hAnsi="Times New Roman" w:cs="Times New Roman"/>
          <w:sz w:val="24"/>
          <w:szCs w:val="24"/>
        </w:rPr>
        <w:t>thru multiple mechanisms, specifically through the profitability</w:t>
      </w:r>
      <w:r w:rsidR="009B0F9A">
        <w:rPr>
          <w:rFonts w:ascii="Times New Roman" w:hAnsi="Times New Roman" w:cs="Times New Roman"/>
          <w:sz w:val="24"/>
          <w:szCs w:val="24"/>
        </w:rPr>
        <w:t xml:space="preserve">, external information, and internal </w:t>
      </w:r>
      <w:r w:rsidR="00497FE3">
        <w:rPr>
          <w:rFonts w:ascii="Times New Roman" w:hAnsi="Times New Roman" w:cs="Times New Roman"/>
          <w:sz w:val="24"/>
          <w:szCs w:val="24"/>
        </w:rPr>
        <w:t>learning</w:t>
      </w:r>
      <w:r w:rsidR="009B0F9A">
        <w:rPr>
          <w:rFonts w:ascii="Times New Roman" w:hAnsi="Times New Roman" w:cs="Times New Roman"/>
          <w:sz w:val="24"/>
          <w:szCs w:val="24"/>
        </w:rPr>
        <w:t xml:space="preserve"> </w:t>
      </w:r>
      <w:r w:rsidR="00B929F4">
        <w:rPr>
          <w:rFonts w:ascii="Times New Roman" w:hAnsi="Times New Roman" w:cs="Times New Roman"/>
          <w:sz w:val="24"/>
          <w:szCs w:val="24"/>
        </w:rPr>
        <w:t>channels</w:t>
      </w:r>
      <w:r w:rsidR="00AB48E8">
        <w:rPr>
          <w:rFonts w:ascii="Times New Roman" w:hAnsi="Times New Roman" w:cs="Times New Roman"/>
          <w:sz w:val="24"/>
          <w:szCs w:val="24"/>
        </w:rPr>
        <w:t>,</w:t>
      </w:r>
      <w:r w:rsidR="00BE7D78">
        <w:rPr>
          <w:rFonts w:ascii="Times New Roman" w:hAnsi="Times New Roman" w:cs="Times New Roman"/>
          <w:sz w:val="24"/>
          <w:szCs w:val="24"/>
        </w:rPr>
        <w:t xml:space="preserve"> thereby adding to our understanding of how accounting affects real outcomes</w:t>
      </w:r>
      <w:r w:rsidR="004E5C60">
        <w:rPr>
          <w:rFonts w:ascii="Times New Roman" w:hAnsi="Times New Roman" w:cs="Times New Roman"/>
          <w:sz w:val="24"/>
          <w:szCs w:val="24"/>
        </w:rPr>
        <w:t>.</w:t>
      </w:r>
      <w:r w:rsidR="00BE7D78">
        <w:rPr>
          <w:rFonts w:ascii="Times New Roman" w:hAnsi="Times New Roman" w:cs="Times New Roman"/>
          <w:sz w:val="24"/>
          <w:szCs w:val="24"/>
        </w:rPr>
        <w:t xml:space="preserve">  </w:t>
      </w:r>
    </w:p>
    <w:p w14:paraId="4F54E387" w14:textId="42BC488B" w:rsidR="00894471" w:rsidRDefault="00013F9B" w:rsidP="00312EED">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We contribute to the accounting literature by addressing an important, unresolved issue that has interested researchers for decades. </w:t>
      </w:r>
      <w:r w:rsidR="001D7B0D">
        <w:rPr>
          <w:rFonts w:ascii="Times New Roman" w:hAnsi="Times New Roman" w:cs="Times New Roman"/>
          <w:sz w:val="24"/>
          <w:szCs w:val="24"/>
        </w:rPr>
        <w:t xml:space="preserve">Because of its importance, </w:t>
      </w:r>
      <w:r w:rsidR="001D7B0D" w:rsidRPr="00D745DA">
        <w:rPr>
          <w:rFonts w:ascii="Times New Roman" w:hAnsi="Times New Roman" w:cs="Times New Roman"/>
          <w:sz w:val="24"/>
          <w:szCs w:val="24"/>
        </w:rPr>
        <w:t xml:space="preserve">there has been </w:t>
      </w:r>
      <w:r w:rsidR="001D7B0D">
        <w:rPr>
          <w:rFonts w:ascii="Times New Roman" w:hAnsi="Times New Roman" w:cs="Times New Roman"/>
          <w:sz w:val="24"/>
          <w:szCs w:val="24"/>
        </w:rPr>
        <w:t xml:space="preserve">a large </w:t>
      </w:r>
      <w:r w:rsidR="001D7B0D" w:rsidRPr="00D745DA">
        <w:rPr>
          <w:rFonts w:ascii="Times New Roman" w:hAnsi="Times New Roman" w:cs="Times New Roman"/>
          <w:sz w:val="24"/>
          <w:szCs w:val="24"/>
        </w:rPr>
        <w:t>debate about accounting for R&amp;D in the U</w:t>
      </w:r>
      <w:r w:rsidR="001D7B0D">
        <w:rPr>
          <w:rFonts w:ascii="Times New Roman" w:hAnsi="Times New Roman" w:cs="Times New Roman"/>
          <w:sz w:val="24"/>
          <w:szCs w:val="24"/>
        </w:rPr>
        <w:t>.</w:t>
      </w:r>
      <w:r w:rsidR="001D7B0D" w:rsidRPr="00D745DA">
        <w:rPr>
          <w:rFonts w:ascii="Times New Roman" w:hAnsi="Times New Roman" w:cs="Times New Roman"/>
          <w:sz w:val="24"/>
          <w:szCs w:val="24"/>
        </w:rPr>
        <w:t>S</w:t>
      </w:r>
      <w:r w:rsidR="001D7B0D">
        <w:rPr>
          <w:rFonts w:ascii="Times New Roman" w:hAnsi="Times New Roman" w:cs="Times New Roman"/>
          <w:sz w:val="24"/>
          <w:szCs w:val="24"/>
        </w:rPr>
        <w:t>.</w:t>
      </w:r>
      <w:r w:rsidR="001D7B0D" w:rsidRPr="00D745DA">
        <w:rPr>
          <w:rFonts w:ascii="Times New Roman" w:hAnsi="Times New Roman" w:cs="Times New Roman"/>
          <w:sz w:val="24"/>
          <w:szCs w:val="24"/>
        </w:rPr>
        <w:t xml:space="preserve">, and it is important for </w:t>
      </w:r>
      <w:r w:rsidR="001D7B0D">
        <w:rPr>
          <w:rFonts w:ascii="Times New Roman" w:hAnsi="Times New Roman" w:cs="Times New Roman"/>
          <w:sz w:val="24"/>
          <w:szCs w:val="24"/>
        </w:rPr>
        <w:t xml:space="preserve">U.S. regulators </w:t>
      </w:r>
      <w:r w:rsidR="001D7B0D" w:rsidRPr="00D745DA">
        <w:rPr>
          <w:rFonts w:ascii="Times New Roman" w:hAnsi="Times New Roman" w:cs="Times New Roman"/>
          <w:sz w:val="24"/>
          <w:szCs w:val="24"/>
        </w:rPr>
        <w:t>to see th</w:t>
      </w:r>
      <w:r w:rsidR="001D7B0D">
        <w:rPr>
          <w:rFonts w:ascii="Times New Roman" w:hAnsi="Times New Roman" w:cs="Times New Roman"/>
          <w:sz w:val="24"/>
          <w:szCs w:val="24"/>
        </w:rPr>
        <w:t xml:space="preserve">e effects of R&amp;D capitalization in a major capital market. We </w:t>
      </w:r>
      <w:r w:rsidR="001D7B0D" w:rsidRPr="00D745DA">
        <w:rPr>
          <w:rFonts w:ascii="Times New Roman" w:hAnsi="Times New Roman" w:cs="Times New Roman"/>
          <w:sz w:val="24"/>
          <w:szCs w:val="24"/>
        </w:rPr>
        <w:t xml:space="preserve">provide empirical evidence </w:t>
      </w:r>
      <w:r w:rsidR="001D7B0D">
        <w:rPr>
          <w:rFonts w:ascii="Times New Roman" w:hAnsi="Times New Roman" w:cs="Times New Roman"/>
          <w:sz w:val="24"/>
          <w:szCs w:val="24"/>
        </w:rPr>
        <w:t xml:space="preserve">on this key issue. </w:t>
      </w:r>
      <w:r>
        <w:rPr>
          <w:rFonts w:ascii="Times New Roman" w:hAnsi="Times New Roman" w:cs="Times New Roman"/>
          <w:sz w:val="24"/>
          <w:szCs w:val="24"/>
        </w:rPr>
        <w:t xml:space="preserve">Our results attest to the real effects of accounting policy on firms’ R&amp;D investments, and thus to the importance of accounting methods. </w:t>
      </w:r>
    </w:p>
    <w:p w14:paraId="4B97E1B2" w14:textId="1CBA44B4" w:rsidR="00BC016B" w:rsidRDefault="00BC016B">
      <w:pPr>
        <w:rPr>
          <w:rFonts w:ascii="Times New Roman" w:hAnsi="Times New Roman" w:cs="Times New Roman"/>
          <w:sz w:val="24"/>
          <w:szCs w:val="24"/>
        </w:rPr>
      </w:pPr>
      <w:r>
        <w:rPr>
          <w:rFonts w:ascii="Times New Roman" w:hAnsi="Times New Roman" w:cs="Times New Roman"/>
          <w:sz w:val="24"/>
          <w:szCs w:val="24"/>
        </w:rPr>
        <w:br w:type="page"/>
      </w:r>
    </w:p>
    <w:p w14:paraId="675F242D" w14:textId="4D418CF4" w:rsidR="00B1064D" w:rsidRPr="00401004" w:rsidRDefault="0051108B" w:rsidP="00B514C5">
      <w:pPr>
        <w:jc w:val="center"/>
        <w:rPr>
          <w:rFonts w:ascii="Times New Roman" w:hAnsi="Times New Roman" w:cs="Times New Roman"/>
          <w:b/>
          <w:sz w:val="24"/>
          <w:szCs w:val="24"/>
        </w:rPr>
      </w:pPr>
      <w:r w:rsidRPr="00401004">
        <w:rPr>
          <w:rFonts w:ascii="Times New Roman" w:hAnsi="Times New Roman" w:cs="Times New Roman"/>
          <w:b/>
          <w:sz w:val="24"/>
          <w:szCs w:val="24"/>
        </w:rPr>
        <w:t>References</w:t>
      </w:r>
    </w:p>
    <w:p w14:paraId="1E8B58C6" w14:textId="77777777" w:rsidR="00F0500F" w:rsidRDefault="00A36A44" w:rsidP="00772077">
      <w:pPr>
        <w:pStyle w:val="EndNoteBibliography"/>
        <w:ind w:left="360" w:hanging="360"/>
        <w:contextualSpacing/>
        <w:rPr>
          <w:i/>
          <w:sz w:val="24"/>
          <w:szCs w:val="24"/>
        </w:rPr>
      </w:pPr>
      <w:bookmarkStart w:id="5" w:name="_ENREF_3"/>
      <w:r>
        <w:rPr>
          <w:sz w:val="24"/>
          <w:szCs w:val="24"/>
        </w:rPr>
        <w:t xml:space="preserve">Accounting Standards Committee, 1975, </w:t>
      </w:r>
      <w:r w:rsidRPr="00F5296A">
        <w:rPr>
          <w:i/>
          <w:sz w:val="24"/>
          <w:szCs w:val="24"/>
        </w:rPr>
        <w:t xml:space="preserve">Exposure Draft 14 - Accounting for Research and </w:t>
      </w:r>
    </w:p>
    <w:p w14:paraId="7996C167" w14:textId="498F2876" w:rsidR="00A36A44" w:rsidRPr="00F5296A" w:rsidRDefault="00A36A44" w:rsidP="00772077">
      <w:pPr>
        <w:pStyle w:val="EndNoteBibliography"/>
        <w:ind w:left="360" w:firstLine="0"/>
        <w:contextualSpacing/>
        <w:rPr>
          <w:i/>
          <w:sz w:val="24"/>
          <w:szCs w:val="24"/>
        </w:rPr>
      </w:pPr>
      <w:r w:rsidRPr="00F5296A">
        <w:rPr>
          <w:i/>
          <w:sz w:val="24"/>
          <w:szCs w:val="24"/>
        </w:rPr>
        <w:t>Development.</w:t>
      </w:r>
    </w:p>
    <w:p w14:paraId="72C95A89" w14:textId="48933017" w:rsidR="00522B47" w:rsidRDefault="00F0500F" w:rsidP="00772077">
      <w:pPr>
        <w:pStyle w:val="EndNoteBibliography"/>
        <w:ind w:left="360" w:hanging="360"/>
        <w:contextualSpacing/>
        <w:rPr>
          <w:sz w:val="24"/>
          <w:szCs w:val="24"/>
        </w:rPr>
      </w:pPr>
      <w:r>
        <w:rPr>
          <w:sz w:val="24"/>
          <w:szCs w:val="24"/>
        </w:rPr>
        <w:tab/>
      </w:r>
    </w:p>
    <w:p w14:paraId="51A8B201" w14:textId="77777777" w:rsidR="00F0500F" w:rsidRDefault="00A36A44" w:rsidP="00772077">
      <w:pPr>
        <w:pStyle w:val="EndNoteBibliography"/>
        <w:tabs>
          <w:tab w:val="left" w:pos="360"/>
        </w:tabs>
        <w:ind w:left="360" w:hanging="360"/>
        <w:contextualSpacing/>
        <w:rPr>
          <w:i/>
          <w:sz w:val="24"/>
          <w:szCs w:val="24"/>
        </w:rPr>
      </w:pPr>
      <w:r>
        <w:rPr>
          <w:sz w:val="24"/>
          <w:szCs w:val="24"/>
        </w:rPr>
        <w:t xml:space="preserve">Accounting Standards Committee, 1976, </w:t>
      </w:r>
      <w:r w:rsidRPr="00F5296A">
        <w:rPr>
          <w:i/>
          <w:sz w:val="24"/>
          <w:szCs w:val="24"/>
        </w:rPr>
        <w:t xml:space="preserve">Exposure Draft 17 – Accounting for Research and </w:t>
      </w:r>
    </w:p>
    <w:p w14:paraId="131D43EA" w14:textId="0A26A6C3" w:rsidR="00A36A44" w:rsidRDefault="00772077" w:rsidP="00772077">
      <w:pPr>
        <w:pStyle w:val="EndNoteBibliography"/>
        <w:tabs>
          <w:tab w:val="left" w:pos="360"/>
        </w:tabs>
        <w:ind w:left="360" w:hanging="360"/>
        <w:contextualSpacing/>
        <w:rPr>
          <w:i/>
          <w:sz w:val="24"/>
          <w:szCs w:val="24"/>
        </w:rPr>
      </w:pPr>
      <w:r>
        <w:rPr>
          <w:i/>
          <w:sz w:val="24"/>
          <w:szCs w:val="24"/>
        </w:rPr>
        <w:tab/>
      </w:r>
      <w:r w:rsidR="00A36A44" w:rsidRPr="00F5296A">
        <w:rPr>
          <w:i/>
          <w:sz w:val="24"/>
          <w:szCs w:val="24"/>
        </w:rPr>
        <w:t>Development – Revised.</w:t>
      </w:r>
    </w:p>
    <w:p w14:paraId="2E743BF9" w14:textId="77777777" w:rsidR="0014764E" w:rsidRDefault="0014764E" w:rsidP="00414B16">
      <w:pPr>
        <w:pStyle w:val="EndNoteBibliography"/>
        <w:tabs>
          <w:tab w:val="left" w:pos="360"/>
        </w:tabs>
        <w:ind w:firstLine="0"/>
        <w:contextualSpacing/>
        <w:rPr>
          <w:i/>
          <w:sz w:val="24"/>
          <w:szCs w:val="24"/>
        </w:rPr>
      </w:pPr>
    </w:p>
    <w:p w14:paraId="5426F900" w14:textId="77777777" w:rsidR="00F0500F" w:rsidRDefault="0014764E" w:rsidP="00772077">
      <w:pPr>
        <w:pStyle w:val="EndNoteBibliography"/>
        <w:tabs>
          <w:tab w:val="left" w:pos="360"/>
        </w:tabs>
        <w:ind w:left="360" w:hanging="360"/>
        <w:contextualSpacing/>
        <w:rPr>
          <w:i/>
          <w:sz w:val="24"/>
          <w:szCs w:val="24"/>
        </w:rPr>
      </w:pPr>
      <w:r>
        <w:rPr>
          <w:sz w:val="24"/>
          <w:szCs w:val="24"/>
        </w:rPr>
        <w:t xml:space="preserve">Accounting Standards Committee, 1989, </w:t>
      </w:r>
      <w:r>
        <w:rPr>
          <w:i/>
          <w:sz w:val="24"/>
          <w:szCs w:val="24"/>
        </w:rPr>
        <w:t xml:space="preserve">Statement of Standard Accounting Practice No. 13 – </w:t>
      </w:r>
    </w:p>
    <w:p w14:paraId="0D300C03" w14:textId="42745C01" w:rsidR="00A674C8" w:rsidRDefault="00772077" w:rsidP="00772077">
      <w:pPr>
        <w:pStyle w:val="EndNoteBibliography"/>
        <w:tabs>
          <w:tab w:val="left" w:pos="360"/>
        </w:tabs>
        <w:ind w:left="360" w:hanging="360"/>
        <w:contextualSpacing/>
        <w:rPr>
          <w:sz w:val="24"/>
          <w:szCs w:val="24"/>
        </w:rPr>
      </w:pPr>
      <w:r>
        <w:rPr>
          <w:i/>
          <w:sz w:val="24"/>
          <w:szCs w:val="24"/>
        </w:rPr>
        <w:tab/>
      </w:r>
      <w:r w:rsidR="0014764E">
        <w:rPr>
          <w:i/>
          <w:sz w:val="24"/>
          <w:szCs w:val="24"/>
        </w:rPr>
        <w:t>Accounting for Research and Development Expenditures</w:t>
      </w:r>
      <w:r w:rsidR="0014764E">
        <w:rPr>
          <w:sz w:val="24"/>
          <w:szCs w:val="24"/>
        </w:rPr>
        <w:t>.</w:t>
      </w:r>
    </w:p>
    <w:bookmarkEnd w:id="5"/>
    <w:p w14:paraId="6D8DC9D8" w14:textId="77777777" w:rsidR="00186C8C" w:rsidRPr="00ED425F" w:rsidRDefault="00186C8C" w:rsidP="00414B16">
      <w:pPr>
        <w:pStyle w:val="EndNoteBibliography"/>
        <w:tabs>
          <w:tab w:val="left" w:pos="360"/>
        </w:tabs>
        <w:ind w:firstLine="0"/>
        <w:rPr>
          <w:sz w:val="24"/>
          <w:szCs w:val="24"/>
        </w:rPr>
      </w:pPr>
    </w:p>
    <w:p w14:paraId="2B0AECF2" w14:textId="77777777" w:rsidR="00ED425F" w:rsidRDefault="00186C8C" w:rsidP="001E42C1">
      <w:pPr>
        <w:pStyle w:val="EndNoteBibliography"/>
        <w:tabs>
          <w:tab w:val="left" w:pos="360"/>
        </w:tabs>
        <w:ind w:left="360" w:hanging="360"/>
        <w:jc w:val="left"/>
        <w:rPr>
          <w:sz w:val="24"/>
          <w:szCs w:val="24"/>
        </w:rPr>
      </w:pPr>
      <w:r w:rsidRPr="00ED425F">
        <w:rPr>
          <w:sz w:val="24"/>
          <w:szCs w:val="24"/>
        </w:rPr>
        <w:t xml:space="preserve">Baber, William, Patricia Fairfield, and James Haggard, 1991, </w:t>
      </w:r>
      <w:r>
        <w:rPr>
          <w:sz w:val="24"/>
          <w:szCs w:val="24"/>
        </w:rPr>
        <w:t>“</w:t>
      </w:r>
      <w:r w:rsidR="00ED425F">
        <w:rPr>
          <w:sz w:val="24"/>
          <w:szCs w:val="24"/>
        </w:rPr>
        <w:t xml:space="preserve">The Effect of Concern about </w:t>
      </w:r>
    </w:p>
    <w:p w14:paraId="19D846F3" w14:textId="7CE3E5F4" w:rsidR="00186C8C" w:rsidRDefault="00ED425F" w:rsidP="001E42C1">
      <w:pPr>
        <w:pStyle w:val="EndNoteBibliography"/>
        <w:tabs>
          <w:tab w:val="left" w:pos="360"/>
        </w:tabs>
        <w:ind w:left="360" w:hanging="360"/>
        <w:jc w:val="left"/>
        <w:rPr>
          <w:sz w:val="24"/>
          <w:szCs w:val="24"/>
        </w:rPr>
      </w:pPr>
      <w:r>
        <w:rPr>
          <w:sz w:val="24"/>
          <w:szCs w:val="24"/>
        </w:rPr>
        <w:tab/>
        <w:t xml:space="preserve">Reported Income on Discretionary Spending Decisions: The Case of Research and Development”, </w:t>
      </w:r>
      <w:r w:rsidRPr="00ED425F">
        <w:rPr>
          <w:i/>
          <w:sz w:val="24"/>
          <w:szCs w:val="24"/>
        </w:rPr>
        <w:t>The Accounting Review</w:t>
      </w:r>
      <w:r>
        <w:rPr>
          <w:sz w:val="24"/>
          <w:szCs w:val="24"/>
        </w:rPr>
        <w:t xml:space="preserve"> 66, 818-829.</w:t>
      </w:r>
    </w:p>
    <w:p w14:paraId="79DC7FB6" w14:textId="77777777" w:rsidR="00A273CB" w:rsidRDefault="00A273CB" w:rsidP="00414B16">
      <w:pPr>
        <w:pStyle w:val="EndNoteBibliography"/>
        <w:tabs>
          <w:tab w:val="left" w:pos="360"/>
        </w:tabs>
        <w:ind w:firstLine="0"/>
        <w:rPr>
          <w:sz w:val="24"/>
          <w:szCs w:val="24"/>
        </w:rPr>
      </w:pPr>
    </w:p>
    <w:p w14:paraId="1DDD02F3" w14:textId="77777777" w:rsidR="00CE755A" w:rsidRDefault="00A273CB" w:rsidP="001E42C1">
      <w:pPr>
        <w:pStyle w:val="EndNoteBibliography"/>
        <w:tabs>
          <w:tab w:val="left" w:pos="360"/>
        </w:tabs>
        <w:ind w:left="360" w:hanging="360"/>
        <w:rPr>
          <w:sz w:val="24"/>
          <w:szCs w:val="24"/>
        </w:rPr>
      </w:pPr>
      <w:r w:rsidRPr="00DA588D">
        <w:rPr>
          <w:sz w:val="24"/>
          <w:szCs w:val="24"/>
        </w:rPr>
        <w:t>Badertscher, B</w:t>
      </w:r>
      <w:r>
        <w:rPr>
          <w:sz w:val="24"/>
          <w:szCs w:val="24"/>
        </w:rPr>
        <w:t>rad</w:t>
      </w:r>
      <w:r w:rsidRPr="00A273CB">
        <w:rPr>
          <w:sz w:val="24"/>
          <w:szCs w:val="24"/>
        </w:rPr>
        <w:t>., Nemit</w:t>
      </w:r>
      <w:r w:rsidRPr="00CE755A">
        <w:rPr>
          <w:sz w:val="24"/>
          <w:szCs w:val="24"/>
        </w:rPr>
        <w:t xml:space="preserve"> Shroff, and Hal</w:t>
      </w:r>
      <w:r w:rsidR="00CE755A" w:rsidRPr="00CE755A">
        <w:rPr>
          <w:sz w:val="24"/>
          <w:szCs w:val="24"/>
        </w:rPr>
        <w:t xml:space="preserve"> White,</w:t>
      </w:r>
      <w:r w:rsidRPr="00DA588D">
        <w:rPr>
          <w:sz w:val="24"/>
          <w:szCs w:val="24"/>
        </w:rPr>
        <w:t xml:space="preserve"> 2013</w:t>
      </w:r>
      <w:r w:rsidR="00CE755A" w:rsidRPr="00CE755A">
        <w:rPr>
          <w:sz w:val="24"/>
          <w:szCs w:val="24"/>
        </w:rPr>
        <w:t>,</w:t>
      </w:r>
      <w:r w:rsidRPr="00DA588D">
        <w:rPr>
          <w:sz w:val="24"/>
          <w:szCs w:val="24"/>
        </w:rPr>
        <w:t xml:space="preserve"> </w:t>
      </w:r>
      <w:r w:rsidR="00CE755A">
        <w:rPr>
          <w:sz w:val="24"/>
          <w:szCs w:val="24"/>
        </w:rPr>
        <w:t>“</w:t>
      </w:r>
      <w:r w:rsidRPr="00DA588D">
        <w:rPr>
          <w:sz w:val="24"/>
          <w:szCs w:val="24"/>
        </w:rPr>
        <w:t xml:space="preserve">Externalities of Public Firms: Evidence </w:t>
      </w:r>
    </w:p>
    <w:p w14:paraId="1B1C6AD2" w14:textId="437CDF87" w:rsidR="00A273CB" w:rsidRDefault="00CE755A" w:rsidP="001E42C1">
      <w:pPr>
        <w:pStyle w:val="EndNoteBibliography"/>
        <w:tabs>
          <w:tab w:val="left" w:pos="360"/>
        </w:tabs>
        <w:ind w:left="360" w:hanging="360"/>
        <w:rPr>
          <w:sz w:val="24"/>
          <w:szCs w:val="24"/>
        </w:rPr>
      </w:pPr>
      <w:r>
        <w:rPr>
          <w:sz w:val="24"/>
          <w:szCs w:val="24"/>
        </w:rPr>
        <w:tab/>
      </w:r>
      <w:r w:rsidR="00A273CB" w:rsidRPr="00DA588D">
        <w:rPr>
          <w:sz w:val="24"/>
          <w:szCs w:val="24"/>
        </w:rPr>
        <w:t>from Private Firms’ Investment Decisions</w:t>
      </w:r>
      <w:r>
        <w:rPr>
          <w:sz w:val="24"/>
          <w:szCs w:val="24"/>
        </w:rPr>
        <w:t>”,</w:t>
      </w:r>
      <w:r w:rsidR="00A273CB" w:rsidRPr="00DA588D">
        <w:rPr>
          <w:sz w:val="24"/>
          <w:szCs w:val="24"/>
        </w:rPr>
        <w:t xml:space="preserve"> </w:t>
      </w:r>
      <w:r w:rsidR="00A273CB" w:rsidRPr="00DA588D">
        <w:rPr>
          <w:i/>
          <w:sz w:val="24"/>
          <w:szCs w:val="24"/>
        </w:rPr>
        <w:t>Journal of Financial Economics</w:t>
      </w:r>
      <w:r w:rsidR="00DA588D">
        <w:rPr>
          <w:i/>
          <w:sz w:val="24"/>
          <w:szCs w:val="24"/>
        </w:rPr>
        <w:t xml:space="preserve"> </w:t>
      </w:r>
      <w:r w:rsidR="00A273CB" w:rsidRPr="00DA588D">
        <w:rPr>
          <w:sz w:val="24"/>
          <w:szCs w:val="24"/>
        </w:rPr>
        <w:t>10</w:t>
      </w:r>
      <w:r w:rsidR="00DA588D" w:rsidRPr="00DA588D">
        <w:rPr>
          <w:sz w:val="24"/>
          <w:szCs w:val="24"/>
        </w:rPr>
        <w:t>9</w:t>
      </w:r>
      <w:r w:rsidR="00DA588D">
        <w:rPr>
          <w:sz w:val="24"/>
          <w:szCs w:val="24"/>
        </w:rPr>
        <w:t>,</w:t>
      </w:r>
      <w:r w:rsidR="00A273CB" w:rsidRPr="00DA588D">
        <w:rPr>
          <w:sz w:val="24"/>
          <w:szCs w:val="24"/>
        </w:rPr>
        <w:t xml:space="preserve"> 682-706.</w:t>
      </w:r>
    </w:p>
    <w:p w14:paraId="289825E5" w14:textId="6FF29296" w:rsidR="00B5204C" w:rsidRDefault="00B5204C" w:rsidP="00414B16">
      <w:pPr>
        <w:pStyle w:val="EndNoteBibliography"/>
        <w:tabs>
          <w:tab w:val="left" w:pos="360"/>
        </w:tabs>
        <w:ind w:firstLine="0"/>
        <w:rPr>
          <w:sz w:val="24"/>
          <w:szCs w:val="24"/>
        </w:rPr>
      </w:pPr>
    </w:p>
    <w:p w14:paraId="64E39BAD" w14:textId="179CF4FA" w:rsidR="0007678A" w:rsidRDefault="00B5204C" w:rsidP="00414B16">
      <w:pPr>
        <w:pStyle w:val="EndNoteBibliography"/>
        <w:tabs>
          <w:tab w:val="left" w:pos="360"/>
        </w:tabs>
        <w:ind w:firstLine="0"/>
        <w:jc w:val="left"/>
        <w:rPr>
          <w:sz w:val="24"/>
          <w:szCs w:val="24"/>
        </w:rPr>
      </w:pPr>
      <w:r>
        <w:rPr>
          <w:sz w:val="24"/>
          <w:szCs w:val="24"/>
        </w:rPr>
        <w:t xml:space="preserve">Bagnoli, </w:t>
      </w:r>
      <w:r w:rsidR="00E96516">
        <w:rPr>
          <w:sz w:val="24"/>
          <w:szCs w:val="24"/>
        </w:rPr>
        <w:t xml:space="preserve">Mark and </w:t>
      </w:r>
      <w:r w:rsidR="006A21EC">
        <w:rPr>
          <w:sz w:val="24"/>
          <w:szCs w:val="24"/>
        </w:rPr>
        <w:t xml:space="preserve">Susan Watts, 2005, “Conservative Accounting Choices”, </w:t>
      </w:r>
      <w:r w:rsidR="00607812" w:rsidRPr="005319B6">
        <w:rPr>
          <w:i/>
          <w:iCs/>
          <w:sz w:val="24"/>
          <w:szCs w:val="24"/>
        </w:rPr>
        <w:t>Management</w:t>
      </w:r>
      <w:r w:rsidR="00252F15">
        <w:rPr>
          <w:i/>
          <w:iCs/>
          <w:sz w:val="24"/>
          <w:szCs w:val="24"/>
        </w:rPr>
        <w:tab/>
        <w:t>S</w:t>
      </w:r>
      <w:r w:rsidR="00607812" w:rsidRPr="005319B6">
        <w:rPr>
          <w:i/>
          <w:iCs/>
          <w:sz w:val="24"/>
          <w:szCs w:val="24"/>
        </w:rPr>
        <w:t xml:space="preserve">cience </w:t>
      </w:r>
      <w:r w:rsidR="00607812">
        <w:rPr>
          <w:sz w:val="24"/>
          <w:szCs w:val="24"/>
        </w:rPr>
        <w:t xml:space="preserve">51, </w:t>
      </w:r>
      <w:r w:rsidR="00252F15">
        <w:rPr>
          <w:sz w:val="24"/>
          <w:szCs w:val="24"/>
        </w:rPr>
        <w:t>786-801.</w:t>
      </w:r>
    </w:p>
    <w:p w14:paraId="7875C7E1" w14:textId="77777777" w:rsidR="00C43799" w:rsidRDefault="00C43799" w:rsidP="00414B16">
      <w:pPr>
        <w:pStyle w:val="EndNoteBibliography"/>
        <w:tabs>
          <w:tab w:val="left" w:pos="360"/>
        </w:tabs>
        <w:ind w:firstLine="0"/>
        <w:jc w:val="left"/>
        <w:rPr>
          <w:sz w:val="24"/>
          <w:szCs w:val="24"/>
        </w:rPr>
      </w:pPr>
    </w:p>
    <w:p w14:paraId="4D80725D" w14:textId="77777777" w:rsidR="00C96ED0" w:rsidRDefault="00C96ED0" w:rsidP="00414B16">
      <w:pPr>
        <w:tabs>
          <w:tab w:val="left" w:pos="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Balakrishnan, Karthik, Mary Billings, Bryan Kelly, and Alexander Ljungqvist, 2014, “Shaping</w:t>
      </w:r>
    </w:p>
    <w:p w14:paraId="63C6C2ED" w14:textId="3989C440" w:rsidR="00815578" w:rsidRDefault="00C96ED0" w:rsidP="00414B16">
      <w:pPr>
        <w:tabs>
          <w:tab w:val="left" w:pos="360"/>
        </w:tabs>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Liquidity: The Causal Effects of Voluntary Disclosure”, </w:t>
      </w:r>
      <w:r w:rsidRPr="007779FC">
        <w:rPr>
          <w:rFonts w:ascii="Times New Roman" w:eastAsia="Times New Roman" w:hAnsi="Times New Roman" w:cs="Times New Roman"/>
          <w:i/>
          <w:sz w:val="24"/>
          <w:szCs w:val="24"/>
        </w:rPr>
        <w:t xml:space="preserve">Journal of Finance </w:t>
      </w:r>
      <w:r>
        <w:rPr>
          <w:rFonts w:ascii="Times New Roman" w:eastAsia="Times New Roman" w:hAnsi="Times New Roman" w:cs="Times New Roman"/>
          <w:sz w:val="24"/>
          <w:szCs w:val="24"/>
        </w:rPr>
        <w:t>64, 2237-2278.</w:t>
      </w:r>
    </w:p>
    <w:p w14:paraId="1FF30B3F" w14:textId="77777777" w:rsidR="003215CB" w:rsidRDefault="003215CB" w:rsidP="00414B16">
      <w:pPr>
        <w:pStyle w:val="gmail-msonormal"/>
        <w:tabs>
          <w:tab w:val="left" w:pos="360"/>
        </w:tabs>
        <w:spacing w:before="0" w:beforeAutospacing="0" w:after="0" w:afterAutospacing="0"/>
        <w:ind w:firstLine="360"/>
      </w:pPr>
    </w:p>
    <w:p w14:paraId="1D9C7CED" w14:textId="77777777" w:rsidR="00735C2E" w:rsidRDefault="00735C2E" w:rsidP="001E42C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rPr>
          <w:rFonts w:ascii="Times New Roman" w:hAnsi="Times New Roman" w:cs="Times New Roman"/>
          <w:sz w:val="24"/>
          <w:szCs w:val="24"/>
        </w:rPr>
      </w:pPr>
      <w:bookmarkStart w:id="6" w:name="_ENREF_9"/>
      <w:r>
        <w:rPr>
          <w:rFonts w:ascii="Times New Roman" w:hAnsi="Times New Roman" w:cs="Times New Roman"/>
          <w:sz w:val="24"/>
          <w:szCs w:val="24"/>
        </w:rPr>
        <w:t xml:space="preserve">Bertrand, Marianne and Sendhil Mullainathan, 2003, “Enjoying the Quiet Life: Corporate </w:t>
      </w:r>
    </w:p>
    <w:p w14:paraId="74EBF1A7" w14:textId="0EF49533" w:rsidR="00735C2E" w:rsidRPr="00B765B7" w:rsidRDefault="00735C2E" w:rsidP="001E42C1">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rPr>
          <w:rFonts w:ascii="Times New Roman" w:eastAsia="Times New Roman" w:hAnsi="Times New Roman" w:cs="Times New Roman"/>
          <w:sz w:val="24"/>
          <w:szCs w:val="24"/>
        </w:rPr>
      </w:pPr>
      <w:r>
        <w:rPr>
          <w:rFonts w:ascii="Times New Roman" w:hAnsi="Times New Roman" w:cs="Times New Roman"/>
          <w:sz w:val="24"/>
          <w:szCs w:val="24"/>
        </w:rPr>
        <w:tab/>
        <w:t xml:space="preserve">Governance and Managerial Preferences”, </w:t>
      </w:r>
      <w:r w:rsidRPr="00735C2E">
        <w:rPr>
          <w:rFonts w:ascii="Times New Roman" w:hAnsi="Times New Roman" w:cs="Times New Roman"/>
          <w:i/>
          <w:sz w:val="24"/>
          <w:szCs w:val="24"/>
        </w:rPr>
        <w:t>Journal of Political Economy</w:t>
      </w:r>
      <w:r>
        <w:rPr>
          <w:rFonts w:ascii="Times New Roman" w:hAnsi="Times New Roman" w:cs="Times New Roman"/>
          <w:sz w:val="24"/>
          <w:szCs w:val="24"/>
        </w:rPr>
        <w:t xml:space="preserve"> 111, 1043-1075.</w:t>
      </w:r>
    </w:p>
    <w:p w14:paraId="683126D2" w14:textId="77777777" w:rsidR="00C966B9" w:rsidRDefault="00C966B9" w:rsidP="00414B16">
      <w:pPr>
        <w:pStyle w:val="EndNoteBibliography"/>
        <w:tabs>
          <w:tab w:val="left" w:pos="360"/>
        </w:tabs>
        <w:ind w:firstLine="0"/>
        <w:rPr>
          <w:rFonts w:eastAsia="Times New Roman"/>
          <w:sz w:val="24"/>
          <w:szCs w:val="24"/>
        </w:rPr>
      </w:pPr>
    </w:p>
    <w:p w14:paraId="6CE3C070" w14:textId="77777777" w:rsidR="00414B16" w:rsidRDefault="009907B8" w:rsidP="00F64A18">
      <w:pPr>
        <w:pStyle w:val="EndNoteBibliography"/>
        <w:tabs>
          <w:tab w:val="left" w:pos="360"/>
        </w:tabs>
        <w:ind w:left="360" w:hanging="360"/>
        <w:rPr>
          <w:sz w:val="24"/>
          <w:szCs w:val="24"/>
        </w:rPr>
      </w:pPr>
      <w:r w:rsidRPr="00774EB7">
        <w:rPr>
          <w:sz w:val="24"/>
          <w:szCs w:val="24"/>
        </w:rPr>
        <w:t>Bertrand, M</w:t>
      </w:r>
      <w:r w:rsidR="00E442E9">
        <w:rPr>
          <w:sz w:val="24"/>
          <w:szCs w:val="24"/>
        </w:rPr>
        <w:t>arianne</w:t>
      </w:r>
      <w:r w:rsidRPr="00774EB7">
        <w:rPr>
          <w:sz w:val="24"/>
          <w:szCs w:val="24"/>
        </w:rPr>
        <w:t xml:space="preserve">, </w:t>
      </w:r>
      <w:r w:rsidR="00F0500F">
        <w:rPr>
          <w:sz w:val="24"/>
          <w:szCs w:val="24"/>
        </w:rPr>
        <w:t xml:space="preserve">Esther </w:t>
      </w:r>
      <w:r w:rsidRPr="00774EB7">
        <w:rPr>
          <w:sz w:val="24"/>
          <w:szCs w:val="24"/>
        </w:rPr>
        <w:t>Duflo</w:t>
      </w:r>
      <w:r w:rsidR="008E443D">
        <w:rPr>
          <w:sz w:val="24"/>
          <w:szCs w:val="24"/>
        </w:rPr>
        <w:t xml:space="preserve">, and </w:t>
      </w:r>
      <w:r w:rsidR="00F0500F">
        <w:rPr>
          <w:sz w:val="24"/>
          <w:szCs w:val="24"/>
        </w:rPr>
        <w:t xml:space="preserve">Sendhil </w:t>
      </w:r>
      <w:r w:rsidR="008E443D">
        <w:rPr>
          <w:sz w:val="24"/>
          <w:szCs w:val="24"/>
        </w:rPr>
        <w:t>Mullainath</w:t>
      </w:r>
      <w:r w:rsidR="00F0500F">
        <w:rPr>
          <w:sz w:val="24"/>
          <w:szCs w:val="24"/>
        </w:rPr>
        <w:t>an</w:t>
      </w:r>
      <w:r w:rsidR="008E443D">
        <w:rPr>
          <w:sz w:val="24"/>
          <w:szCs w:val="24"/>
        </w:rPr>
        <w:t>. 2004,</w:t>
      </w:r>
      <w:r w:rsidRPr="00774EB7">
        <w:rPr>
          <w:sz w:val="24"/>
          <w:szCs w:val="24"/>
        </w:rPr>
        <w:t xml:space="preserve"> </w:t>
      </w:r>
      <w:r w:rsidR="008E443D">
        <w:rPr>
          <w:sz w:val="24"/>
          <w:szCs w:val="24"/>
        </w:rPr>
        <w:t>“</w:t>
      </w:r>
      <w:r w:rsidRPr="00774EB7">
        <w:rPr>
          <w:sz w:val="24"/>
          <w:szCs w:val="24"/>
        </w:rPr>
        <w:t xml:space="preserve">How Much Should We Trust </w:t>
      </w:r>
    </w:p>
    <w:p w14:paraId="0B3CE254" w14:textId="785A76E7" w:rsidR="008D7A49" w:rsidRDefault="00414B16" w:rsidP="00F64A18">
      <w:pPr>
        <w:pStyle w:val="EndNoteBibliography"/>
        <w:tabs>
          <w:tab w:val="left" w:pos="360"/>
        </w:tabs>
        <w:ind w:left="360" w:hanging="360"/>
        <w:rPr>
          <w:sz w:val="24"/>
          <w:szCs w:val="24"/>
        </w:rPr>
      </w:pPr>
      <w:r>
        <w:rPr>
          <w:sz w:val="24"/>
          <w:szCs w:val="24"/>
        </w:rPr>
        <w:tab/>
      </w:r>
      <w:r w:rsidR="009907B8" w:rsidRPr="00774EB7">
        <w:rPr>
          <w:sz w:val="24"/>
          <w:szCs w:val="24"/>
        </w:rPr>
        <w:t>Differences-In-Differences Estimates?</w:t>
      </w:r>
      <w:r w:rsidR="008E443D">
        <w:rPr>
          <w:sz w:val="24"/>
          <w:szCs w:val="24"/>
        </w:rPr>
        <w:t>”,</w:t>
      </w:r>
      <w:r w:rsidR="009907B8" w:rsidRPr="00774EB7">
        <w:rPr>
          <w:sz w:val="24"/>
          <w:szCs w:val="24"/>
        </w:rPr>
        <w:t xml:space="preserve"> </w:t>
      </w:r>
      <w:r w:rsidR="009907B8" w:rsidRPr="00774EB7">
        <w:rPr>
          <w:i/>
          <w:sz w:val="24"/>
          <w:szCs w:val="24"/>
        </w:rPr>
        <w:t xml:space="preserve">The Quarterly Journal of Economics </w:t>
      </w:r>
      <w:r w:rsidR="009907B8" w:rsidRPr="00774EB7">
        <w:rPr>
          <w:sz w:val="24"/>
          <w:szCs w:val="24"/>
        </w:rPr>
        <w:t>119</w:t>
      </w:r>
      <w:r w:rsidR="001C2AC4">
        <w:rPr>
          <w:sz w:val="24"/>
          <w:szCs w:val="24"/>
        </w:rPr>
        <w:t>,</w:t>
      </w:r>
      <w:r w:rsidR="009907B8" w:rsidRPr="00774EB7">
        <w:rPr>
          <w:sz w:val="24"/>
          <w:szCs w:val="24"/>
        </w:rPr>
        <w:t xml:space="preserve">  249-275.</w:t>
      </w:r>
      <w:bookmarkEnd w:id="6"/>
    </w:p>
    <w:p w14:paraId="43BEEB0F" w14:textId="77777777" w:rsidR="000071C1" w:rsidRDefault="000071C1" w:rsidP="00414B16">
      <w:pPr>
        <w:pStyle w:val="EndNoteBibliography"/>
        <w:tabs>
          <w:tab w:val="left" w:pos="360"/>
        </w:tabs>
        <w:ind w:firstLine="0"/>
      </w:pPr>
    </w:p>
    <w:p w14:paraId="012B3898" w14:textId="72C9D35F" w:rsidR="00C43799" w:rsidRDefault="0089675E" w:rsidP="00F64A18">
      <w:pPr>
        <w:pStyle w:val="EndNoteBibliography"/>
        <w:tabs>
          <w:tab w:val="left" w:pos="360"/>
        </w:tabs>
        <w:ind w:left="360" w:hanging="360"/>
        <w:rPr>
          <w:sz w:val="24"/>
          <w:szCs w:val="24"/>
        </w:rPr>
      </w:pPr>
      <w:r>
        <w:rPr>
          <w:sz w:val="24"/>
          <w:szCs w:val="24"/>
        </w:rPr>
        <w:t xml:space="preserve">Biddle, </w:t>
      </w:r>
      <w:r w:rsidR="00C43799">
        <w:rPr>
          <w:sz w:val="24"/>
          <w:szCs w:val="24"/>
        </w:rPr>
        <w:t xml:space="preserve">Gary, Gilles </w:t>
      </w:r>
      <w:r>
        <w:rPr>
          <w:sz w:val="24"/>
          <w:szCs w:val="24"/>
        </w:rPr>
        <w:t xml:space="preserve">Hilary, and </w:t>
      </w:r>
      <w:r w:rsidR="00C43799">
        <w:rPr>
          <w:sz w:val="24"/>
          <w:szCs w:val="24"/>
        </w:rPr>
        <w:t xml:space="preserve">Rodrigo </w:t>
      </w:r>
      <w:r>
        <w:rPr>
          <w:sz w:val="24"/>
          <w:szCs w:val="24"/>
        </w:rPr>
        <w:t>Verdi</w:t>
      </w:r>
      <w:r w:rsidR="00C43799">
        <w:rPr>
          <w:sz w:val="24"/>
          <w:szCs w:val="24"/>
        </w:rPr>
        <w:t xml:space="preserve">, </w:t>
      </w:r>
      <w:r>
        <w:rPr>
          <w:sz w:val="24"/>
          <w:szCs w:val="24"/>
        </w:rPr>
        <w:t>2009</w:t>
      </w:r>
      <w:r w:rsidR="00C43799">
        <w:rPr>
          <w:sz w:val="24"/>
          <w:szCs w:val="24"/>
        </w:rPr>
        <w:t>, “How Does Financial Reporting Quality</w:t>
      </w:r>
    </w:p>
    <w:p w14:paraId="4B1A096E" w14:textId="573AC726" w:rsidR="0089675E" w:rsidRDefault="00F64A18" w:rsidP="00F64A18">
      <w:pPr>
        <w:pStyle w:val="EndNoteBibliography"/>
        <w:tabs>
          <w:tab w:val="left" w:pos="360"/>
        </w:tabs>
        <w:ind w:left="360" w:hanging="360"/>
        <w:rPr>
          <w:sz w:val="24"/>
          <w:szCs w:val="24"/>
        </w:rPr>
      </w:pPr>
      <w:r>
        <w:rPr>
          <w:sz w:val="24"/>
          <w:szCs w:val="24"/>
        </w:rPr>
        <w:tab/>
      </w:r>
      <w:r w:rsidR="00C43799">
        <w:rPr>
          <w:sz w:val="24"/>
          <w:szCs w:val="24"/>
        </w:rPr>
        <w:t xml:space="preserve">Relate to Investment Efficiency?”, </w:t>
      </w:r>
      <w:r w:rsidR="00C43799" w:rsidRPr="00C43799">
        <w:rPr>
          <w:i/>
          <w:iCs/>
          <w:sz w:val="24"/>
          <w:szCs w:val="24"/>
        </w:rPr>
        <w:t>Journal of Accounting and Economics</w:t>
      </w:r>
      <w:r w:rsidR="00C43799">
        <w:rPr>
          <w:sz w:val="24"/>
          <w:szCs w:val="24"/>
        </w:rPr>
        <w:t xml:space="preserve"> 48, 112-131.</w:t>
      </w:r>
      <w:r w:rsidR="00842D1B">
        <w:rPr>
          <w:sz w:val="24"/>
          <w:szCs w:val="24"/>
        </w:rPr>
        <w:t xml:space="preserve"> </w:t>
      </w:r>
    </w:p>
    <w:p w14:paraId="7137D12A" w14:textId="77777777" w:rsidR="0007678A" w:rsidRDefault="0007678A" w:rsidP="00414B16">
      <w:pPr>
        <w:pStyle w:val="FootnoteText"/>
        <w:tabs>
          <w:tab w:val="left" w:pos="360"/>
        </w:tabs>
        <w:rPr>
          <w:rFonts w:ascii="Times New Roman" w:hAnsi="Times New Roman" w:cs="Times New Roman"/>
          <w:sz w:val="24"/>
          <w:szCs w:val="24"/>
        </w:rPr>
      </w:pPr>
    </w:p>
    <w:p w14:paraId="29D6BEE2" w14:textId="77777777" w:rsidR="00F35E3D" w:rsidRDefault="00F35E3D" w:rsidP="00F64A18">
      <w:pPr>
        <w:pStyle w:val="FootnoteText"/>
        <w:tabs>
          <w:tab w:val="left" w:pos="360"/>
        </w:tabs>
        <w:ind w:left="360" w:hanging="360"/>
        <w:rPr>
          <w:rFonts w:ascii="Times New Roman" w:hAnsi="Times New Roman" w:cs="Times New Roman"/>
          <w:sz w:val="24"/>
          <w:szCs w:val="24"/>
        </w:rPr>
      </w:pPr>
      <w:r>
        <w:rPr>
          <w:rFonts w:ascii="Times New Roman" w:hAnsi="Times New Roman" w:cs="Times New Roman"/>
          <w:sz w:val="24"/>
          <w:szCs w:val="24"/>
        </w:rPr>
        <w:t xml:space="preserve">Bushee, Brian, 1998, “The Influence of Institutional Investors on Myopic R&amp;D Investment </w:t>
      </w:r>
    </w:p>
    <w:p w14:paraId="3C9C6A9E" w14:textId="101D9943" w:rsidR="00F35E3D" w:rsidRDefault="00F35E3D" w:rsidP="00F64A18">
      <w:pPr>
        <w:pStyle w:val="FootnoteText"/>
        <w:tabs>
          <w:tab w:val="left" w:pos="360"/>
        </w:tabs>
        <w:ind w:left="360" w:hanging="360"/>
        <w:rPr>
          <w:rFonts w:ascii="Times New Roman" w:hAnsi="Times New Roman" w:cs="Times New Roman"/>
          <w:sz w:val="24"/>
          <w:szCs w:val="24"/>
        </w:rPr>
      </w:pPr>
      <w:r>
        <w:rPr>
          <w:rFonts w:ascii="Times New Roman" w:hAnsi="Times New Roman" w:cs="Times New Roman"/>
          <w:sz w:val="24"/>
          <w:szCs w:val="24"/>
        </w:rPr>
        <w:tab/>
        <w:t xml:space="preserve">Behavior”, </w:t>
      </w:r>
      <w:r w:rsidRPr="00F35E3D">
        <w:rPr>
          <w:rFonts w:ascii="Times New Roman" w:hAnsi="Times New Roman" w:cs="Times New Roman"/>
          <w:i/>
          <w:sz w:val="24"/>
          <w:szCs w:val="24"/>
        </w:rPr>
        <w:t>The Accounting Review</w:t>
      </w:r>
      <w:r>
        <w:rPr>
          <w:rFonts w:ascii="Times New Roman" w:hAnsi="Times New Roman" w:cs="Times New Roman"/>
          <w:sz w:val="24"/>
          <w:szCs w:val="24"/>
        </w:rPr>
        <w:t xml:space="preserve"> 73, 305-333.</w:t>
      </w:r>
    </w:p>
    <w:p w14:paraId="70C62EC3" w14:textId="77777777" w:rsidR="001F5267" w:rsidRDefault="001F5267" w:rsidP="00414B16">
      <w:pPr>
        <w:pStyle w:val="FootnoteText"/>
        <w:tabs>
          <w:tab w:val="left" w:pos="360"/>
        </w:tabs>
        <w:rPr>
          <w:rFonts w:ascii="Times New Roman" w:hAnsi="Times New Roman" w:cs="Times New Roman"/>
          <w:sz w:val="24"/>
          <w:szCs w:val="24"/>
        </w:rPr>
      </w:pPr>
    </w:p>
    <w:p w14:paraId="0CDA4D43" w14:textId="33EB90A8" w:rsidR="00D60246" w:rsidRDefault="001F5267" w:rsidP="00F64A18">
      <w:pPr>
        <w:pStyle w:val="FootnoteText"/>
        <w:tabs>
          <w:tab w:val="left" w:pos="360"/>
        </w:tabs>
        <w:ind w:left="360" w:hanging="360"/>
        <w:rPr>
          <w:rFonts w:ascii="Times New Roman" w:hAnsi="Times New Roman" w:cs="Times New Roman"/>
          <w:sz w:val="24"/>
          <w:szCs w:val="24"/>
        </w:rPr>
      </w:pPr>
      <w:bookmarkStart w:id="7" w:name="_Hlk25845415"/>
      <w:r>
        <w:rPr>
          <w:rFonts w:ascii="Times New Roman" w:hAnsi="Times New Roman" w:cs="Times New Roman"/>
          <w:sz w:val="24"/>
          <w:szCs w:val="24"/>
        </w:rPr>
        <w:t>Chen, E</w:t>
      </w:r>
      <w:r w:rsidR="00D60246">
        <w:rPr>
          <w:rFonts w:ascii="Times New Roman" w:hAnsi="Times New Roman" w:cs="Times New Roman"/>
          <w:sz w:val="24"/>
          <w:szCs w:val="24"/>
        </w:rPr>
        <w:t xml:space="preserve">ster, Ilanit </w:t>
      </w:r>
      <w:r>
        <w:rPr>
          <w:rFonts w:ascii="Times New Roman" w:hAnsi="Times New Roman" w:cs="Times New Roman"/>
          <w:sz w:val="24"/>
          <w:szCs w:val="24"/>
        </w:rPr>
        <w:t>Gavious, and Baruch</w:t>
      </w:r>
      <w:r w:rsidR="00D60246">
        <w:rPr>
          <w:rFonts w:ascii="Times New Roman" w:hAnsi="Times New Roman" w:cs="Times New Roman"/>
          <w:sz w:val="24"/>
          <w:szCs w:val="24"/>
        </w:rPr>
        <w:t xml:space="preserve"> </w:t>
      </w:r>
      <w:r>
        <w:rPr>
          <w:rFonts w:ascii="Times New Roman" w:hAnsi="Times New Roman" w:cs="Times New Roman"/>
          <w:sz w:val="24"/>
          <w:szCs w:val="24"/>
        </w:rPr>
        <w:t>Lev</w:t>
      </w:r>
      <w:bookmarkEnd w:id="7"/>
      <w:r>
        <w:rPr>
          <w:rFonts w:ascii="Times New Roman" w:hAnsi="Times New Roman" w:cs="Times New Roman"/>
          <w:sz w:val="24"/>
          <w:szCs w:val="24"/>
        </w:rPr>
        <w:t>, 2017, “The Positive Ex</w:t>
      </w:r>
      <w:r w:rsidR="00D60246">
        <w:rPr>
          <w:rFonts w:ascii="Times New Roman" w:hAnsi="Times New Roman" w:cs="Times New Roman"/>
          <w:sz w:val="24"/>
          <w:szCs w:val="24"/>
        </w:rPr>
        <w:t xml:space="preserve">ternalities of IFRS R&amp;D </w:t>
      </w:r>
    </w:p>
    <w:p w14:paraId="7DEFE0A3" w14:textId="2AD7C725" w:rsidR="008D7FE1" w:rsidRDefault="00D60246" w:rsidP="00F64A18">
      <w:pPr>
        <w:pStyle w:val="FootnoteText"/>
        <w:tabs>
          <w:tab w:val="left" w:pos="360"/>
        </w:tabs>
        <w:ind w:left="360" w:hanging="360"/>
        <w:rPr>
          <w:rFonts w:ascii="Times New Roman" w:hAnsi="Times New Roman" w:cs="Times New Roman"/>
          <w:sz w:val="24"/>
          <w:szCs w:val="24"/>
        </w:rPr>
      </w:pPr>
      <w:r>
        <w:rPr>
          <w:rFonts w:ascii="Times New Roman" w:hAnsi="Times New Roman" w:cs="Times New Roman"/>
          <w:sz w:val="24"/>
          <w:szCs w:val="24"/>
        </w:rPr>
        <w:tab/>
        <w:t xml:space="preserve">Capitalization: Enhanced Voluntary Disclosure”, </w:t>
      </w:r>
      <w:r w:rsidRPr="00D60246">
        <w:rPr>
          <w:rFonts w:ascii="Times New Roman" w:hAnsi="Times New Roman" w:cs="Times New Roman"/>
          <w:i/>
          <w:sz w:val="24"/>
          <w:szCs w:val="24"/>
        </w:rPr>
        <w:t>Review of Accounting Studies</w:t>
      </w:r>
      <w:r>
        <w:rPr>
          <w:rFonts w:ascii="Times New Roman" w:hAnsi="Times New Roman" w:cs="Times New Roman"/>
          <w:sz w:val="24"/>
          <w:szCs w:val="24"/>
        </w:rPr>
        <w:t xml:space="preserve"> 22, 677-714.</w:t>
      </w:r>
    </w:p>
    <w:p w14:paraId="746261F1" w14:textId="77777777" w:rsidR="00312EED" w:rsidRDefault="00312EED" w:rsidP="00D84271">
      <w:pPr>
        <w:pStyle w:val="FootnoteText"/>
        <w:rPr>
          <w:rFonts w:ascii="Times New Roman" w:hAnsi="Times New Roman" w:cs="Times New Roman"/>
          <w:sz w:val="24"/>
          <w:szCs w:val="24"/>
        </w:rPr>
      </w:pPr>
    </w:p>
    <w:p w14:paraId="4087A682" w14:textId="5956DCD3" w:rsidR="00D84271" w:rsidRDefault="00D84271" w:rsidP="00F64A18">
      <w:pPr>
        <w:pStyle w:val="FootnoteText"/>
        <w:ind w:left="360" w:hanging="360"/>
        <w:rPr>
          <w:rFonts w:ascii="Times New Roman" w:hAnsi="Times New Roman" w:cs="Times New Roman"/>
          <w:sz w:val="24"/>
          <w:szCs w:val="24"/>
        </w:rPr>
      </w:pPr>
      <w:r>
        <w:rPr>
          <w:rFonts w:ascii="Times New Roman" w:hAnsi="Times New Roman" w:cs="Times New Roman"/>
          <w:sz w:val="24"/>
          <w:szCs w:val="24"/>
        </w:rPr>
        <w:t>Christensen, Hans B. Luzi Hail, and Christian Leuz, 2017, “Capital Market Effects of Securities</w:t>
      </w:r>
    </w:p>
    <w:p w14:paraId="2EF53B72" w14:textId="7548BCA9" w:rsidR="00D84271" w:rsidRPr="00F64A18" w:rsidRDefault="00D84271" w:rsidP="00F64A18">
      <w:pPr>
        <w:pStyle w:val="FootnoteText"/>
        <w:ind w:left="360" w:hanging="360"/>
        <w:rPr>
          <w:rFonts w:ascii="Times New Roman" w:hAnsi="Times New Roman" w:cs="Times New Roman"/>
          <w:i/>
          <w:sz w:val="24"/>
          <w:szCs w:val="24"/>
        </w:rPr>
      </w:pPr>
      <w:r>
        <w:rPr>
          <w:rFonts w:ascii="Times New Roman" w:hAnsi="Times New Roman" w:cs="Times New Roman"/>
          <w:sz w:val="24"/>
          <w:szCs w:val="24"/>
        </w:rPr>
        <w:t xml:space="preserve"> </w:t>
      </w:r>
      <w:r w:rsidR="00F64A18">
        <w:rPr>
          <w:rFonts w:ascii="Times New Roman" w:hAnsi="Times New Roman" w:cs="Times New Roman"/>
          <w:sz w:val="24"/>
          <w:szCs w:val="24"/>
        </w:rPr>
        <w:tab/>
      </w:r>
      <w:r>
        <w:rPr>
          <w:rFonts w:ascii="Times New Roman" w:hAnsi="Times New Roman" w:cs="Times New Roman"/>
          <w:sz w:val="24"/>
          <w:szCs w:val="24"/>
        </w:rPr>
        <w:t xml:space="preserve">Regulation: Prior Conditions, Implementation, and Enforcement”, </w:t>
      </w:r>
      <w:r w:rsidRPr="00A65967">
        <w:rPr>
          <w:rFonts w:ascii="Times New Roman" w:hAnsi="Times New Roman" w:cs="Times New Roman"/>
          <w:i/>
          <w:sz w:val="24"/>
          <w:szCs w:val="24"/>
        </w:rPr>
        <w:t xml:space="preserve">The Review of Financial Studies </w:t>
      </w:r>
      <w:r>
        <w:rPr>
          <w:rFonts w:ascii="Times New Roman" w:hAnsi="Times New Roman" w:cs="Times New Roman"/>
          <w:sz w:val="24"/>
          <w:szCs w:val="24"/>
        </w:rPr>
        <w:t>29, 2885-2924.</w:t>
      </w:r>
    </w:p>
    <w:p w14:paraId="51A5A312" w14:textId="77777777" w:rsidR="00F64A18" w:rsidRDefault="00F64A18" w:rsidP="00312EED">
      <w:pPr>
        <w:pStyle w:val="FootnoteText"/>
        <w:rPr>
          <w:rFonts w:ascii="Times New Roman" w:hAnsi="Times New Roman" w:cs="Times New Roman"/>
          <w:sz w:val="24"/>
          <w:szCs w:val="24"/>
        </w:rPr>
      </w:pPr>
    </w:p>
    <w:p w14:paraId="7037E5C2" w14:textId="4D1B7B13" w:rsidR="0007678A" w:rsidRPr="00C96ED0" w:rsidRDefault="00C96ED0" w:rsidP="00F64A18">
      <w:pPr>
        <w:pStyle w:val="FootnoteText"/>
        <w:ind w:left="360" w:hanging="360"/>
        <w:rPr>
          <w:rFonts w:ascii="Times New Roman" w:hAnsi="Times New Roman" w:cs="Times New Roman"/>
          <w:sz w:val="24"/>
          <w:szCs w:val="24"/>
        </w:rPr>
      </w:pPr>
      <w:r w:rsidRPr="00066C2A">
        <w:rPr>
          <w:rFonts w:ascii="Times New Roman" w:hAnsi="Times New Roman" w:cs="Times New Roman"/>
          <w:sz w:val="24"/>
          <w:szCs w:val="24"/>
        </w:rPr>
        <w:t>Daske, H</w:t>
      </w:r>
      <w:r>
        <w:rPr>
          <w:rFonts w:ascii="Times New Roman" w:hAnsi="Times New Roman" w:cs="Times New Roman"/>
          <w:sz w:val="24"/>
          <w:szCs w:val="24"/>
        </w:rPr>
        <w:t>olger</w:t>
      </w:r>
      <w:r w:rsidRPr="00066C2A">
        <w:rPr>
          <w:rFonts w:ascii="Times New Roman" w:hAnsi="Times New Roman" w:cs="Times New Roman"/>
          <w:sz w:val="24"/>
          <w:szCs w:val="24"/>
        </w:rPr>
        <w:t xml:space="preserve">, </w:t>
      </w:r>
      <w:r w:rsidR="00163FEE">
        <w:rPr>
          <w:rFonts w:ascii="Times New Roman" w:hAnsi="Times New Roman" w:cs="Times New Roman"/>
          <w:sz w:val="24"/>
          <w:szCs w:val="24"/>
        </w:rPr>
        <w:t xml:space="preserve">Luzi </w:t>
      </w:r>
      <w:r w:rsidRPr="00066C2A">
        <w:rPr>
          <w:rFonts w:ascii="Times New Roman" w:hAnsi="Times New Roman" w:cs="Times New Roman"/>
          <w:sz w:val="24"/>
          <w:szCs w:val="24"/>
        </w:rPr>
        <w:t xml:space="preserve">Hail, </w:t>
      </w:r>
      <w:r w:rsidR="00163FEE">
        <w:rPr>
          <w:rFonts w:ascii="Times New Roman" w:hAnsi="Times New Roman" w:cs="Times New Roman"/>
          <w:sz w:val="24"/>
          <w:szCs w:val="24"/>
        </w:rPr>
        <w:t xml:space="preserve">Christian </w:t>
      </w:r>
      <w:r w:rsidRPr="00066C2A">
        <w:rPr>
          <w:rFonts w:ascii="Times New Roman" w:hAnsi="Times New Roman" w:cs="Times New Roman"/>
          <w:sz w:val="24"/>
          <w:szCs w:val="24"/>
        </w:rPr>
        <w:t xml:space="preserve">Luez, and </w:t>
      </w:r>
      <w:r>
        <w:rPr>
          <w:rFonts w:ascii="Times New Roman" w:hAnsi="Times New Roman" w:cs="Times New Roman"/>
          <w:sz w:val="24"/>
          <w:szCs w:val="24"/>
        </w:rPr>
        <w:t xml:space="preserve">Rodrigo </w:t>
      </w:r>
      <w:r w:rsidRPr="00066C2A">
        <w:rPr>
          <w:rFonts w:ascii="Times New Roman" w:hAnsi="Times New Roman" w:cs="Times New Roman"/>
          <w:sz w:val="24"/>
          <w:szCs w:val="24"/>
        </w:rPr>
        <w:t>Verdi, 2008, “Mandatory IFRS</w:t>
      </w:r>
      <w:r w:rsidR="00312EED">
        <w:rPr>
          <w:rFonts w:ascii="Times New Roman" w:hAnsi="Times New Roman" w:cs="Times New Roman"/>
          <w:sz w:val="24"/>
          <w:szCs w:val="24"/>
        </w:rPr>
        <w:t xml:space="preserve"> </w:t>
      </w:r>
      <w:r w:rsidRPr="00066C2A">
        <w:rPr>
          <w:rFonts w:ascii="Times New Roman" w:hAnsi="Times New Roman" w:cs="Times New Roman"/>
          <w:sz w:val="24"/>
          <w:szCs w:val="24"/>
        </w:rPr>
        <w:t>Reporting Around the World: Early Evidence on the Economic Consequences”,</w:t>
      </w:r>
      <w:r w:rsidR="00312EED">
        <w:rPr>
          <w:rFonts w:ascii="Times New Roman" w:hAnsi="Times New Roman" w:cs="Times New Roman"/>
          <w:sz w:val="24"/>
          <w:szCs w:val="24"/>
        </w:rPr>
        <w:t xml:space="preserve"> </w:t>
      </w:r>
      <w:r w:rsidRPr="00066C2A">
        <w:rPr>
          <w:rFonts w:ascii="Times New Roman" w:hAnsi="Times New Roman" w:cs="Times New Roman"/>
          <w:i/>
          <w:iCs/>
          <w:sz w:val="24"/>
          <w:szCs w:val="24"/>
        </w:rPr>
        <w:t>J</w:t>
      </w:r>
      <w:r>
        <w:rPr>
          <w:rFonts w:ascii="Times New Roman" w:hAnsi="Times New Roman" w:cs="Times New Roman"/>
          <w:i/>
          <w:iCs/>
          <w:sz w:val="24"/>
          <w:szCs w:val="24"/>
        </w:rPr>
        <w:t>ournal</w:t>
      </w:r>
      <w:r w:rsidR="00312EED">
        <w:rPr>
          <w:rFonts w:ascii="Times New Roman" w:hAnsi="Times New Roman" w:cs="Times New Roman"/>
          <w:i/>
          <w:iCs/>
          <w:sz w:val="24"/>
          <w:szCs w:val="24"/>
        </w:rPr>
        <w:t xml:space="preserve"> </w:t>
      </w:r>
      <w:r>
        <w:rPr>
          <w:rFonts w:ascii="Times New Roman" w:hAnsi="Times New Roman" w:cs="Times New Roman"/>
          <w:i/>
          <w:iCs/>
          <w:sz w:val="24"/>
          <w:szCs w:val="24"/>
        </w:rPr>
        <w:t xml:space="preserve">of </w:t>
      </w:r>
      <w:r w:rsidRPr="00066C2A">
        <w:rPr>
          <w:rFonts w:ascii="Times New Roman" w:hAnsi="Times New Roman" w:cs="Times New Roman"/>
          <w:i/>
          <w:iCs/>
          <w:sz w:val="24"/>
          <w:szCs w:val="24"/>
        </w:rPr>
        <w:t>A</w:t>
      </w:r>
      <w:r>
        <w:rPr>
          <w:rFonts w:ascii="Times New Roman" w:hAnsi="Times New Roman" w:cs="Times New Roman"/>
          <w:i/>
          <w:iCs/>
          <w:sz w:val="24"/>
          <w:szCs w:val="24"/>
        </w:rPr>
        <w:t xml:space="preserve">ccounting </w:t>
      </w:r>
      <w:r w:rsidRPr="00066C2A">
        <w:rPr>
          <w:rFonts w:ascii="Times New Roman" w:hAnsi="Times New Roman" w:cs="Times New Roman"/>
          <w:i/>
          <w:iCs/>
          <w:sz w:val="24"/>
          <w:szCs w:val="24"/>
        </w:rPr>
        <w:t>R</w:t>
      </w:r>
      <w:r>
        <w:rPr>
          <w:rFonts w:ascii="Times New Roman" w:hAnsi="Times New Roman" w:cs="Times New Roman"/>
          <w:i/>
          <w:iCs/>
          <w:sz w:val="24"/>
          <w:szCs w:val="24"/>
        </w:rPr>
        <w:t>esearch</w:t>
      </w:r>
      <w:r w:rsidRPr="00066C2A">
        <w:rPr>
          <w:rFonts w:ascii="Times New Roman" w:hAnsi="Times New Roman" w:cs="Times New Roman"/>
          <w:sz w:val="24"/>
          <w:szCs w:val="24"/>
        </w:rPr>
        <w:t xml:space="preserve"> 46, 1085-1142</w:t>
      </w:r>
      <w:r>
        <w:rPr>
          <w:rFonts w:ascii="Times New Roman" w:hAnsi="Times New Roman" w:cs="Times New Roman"/>
          <w:sz w:val="24"/>
          <w:szCs w:val="24"/>
        </w:rPr>
        <w:t>.</w:t>
      </w:r>
    </w:p>
    <w:p w14:paraId="741094A7" w14:textId="77777777" w:rsidR="00147364" w:rsidRDefault="00147364" w:rsidP="00F0500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174391B9" w14:textId="77777777" w:rsidR="00951200" w:rsidRDefault="00951200" w:rsidP="00F64A1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rPr>
          <w:rFonts w:ascii="Times New Roman" w:hAnsi="Times New Roman" w:cs="Times New Roman"/>
          <w:sz w:val="24"/>
          <w:szCs w:val="24"/>
        </w:rPr>
      </w:pPr>
    </w:p>
    <w:p w14:paraId="662328D3" w14:textId="176EF898" w:rsidR="000125D8" w:rsidRDefault="00147364" w:rsidP="00F64A1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rPr>
          <w:rFonts w:ascii="Times New Roman" w:hAnsi="Times New Roman" w:cs="Times New Roman"/>
          <w:sz w:val="24"/>
          <w:szCs w:val="24"/>
        </w:rPr>
      </w:pPr>
      <w:r w:rsidRPr="000125D8">
        <w:rPr>
          <w:rFonts w:ascii="Times New Roman" w:hAnsi="Times New Roman" w:cs="Times New Roman"/>
          <w:sz w:val="24"/>
          <w:szCs w:val="24"/>
        </w:rPr>
        <w:t xml:space="preserve">Dechow, Patricia and Richard Sloan, 1991, “Executive Incentives and the Horizon Problem: An </w:t>
      </w:r>
    </w:p>
    <w:p w14:paraId="3B23C600" w14:textId="1794D5C2" w:rsidR="00147364" w:rsidRPr="000125D8" w:rsidRDefault="000125D8" w:rsidP="00F64A18">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rPr>
          <w:rFonts w:ascii="Times New Roman" w:eastAsia="Times New Roman" w:hAnsi="Times New Roman" w:cs="Times New Roman"/>
          <w:i/>
          <w:sz w:val="24"/>
          <w:szCs w:val="24"/>
        </w:rPr>
      </w:pPr>
      <w:r>
        <w:rPr>
          <w:rFonts w:ascii="Times New Roman" w:hAnsi="Times New Roman" w:cs="Times New Roman"/>
          <w:sz w:val="24"/>
          <w:szCs w:val="24"/>
        </w:rPr>
        <w:tab/>
      </w:r>
      <w:r w:rsidR="00147364" w:rsidRPr="000125D8">
        <w:rPr>
          <w:rFonts w:ascii="Times New Roman" w:hAnsi="Times New Roman" w:cs="Times New Roman"/>
          <w:sz w:val="24"/>
          <w:szCs w:val="24"/>
        </w:rPr>
        <w:t>Empirical Investigation”,</w:t>
      </w:r>
      <w:r w:rsidR="00147364" w:rsidRPr="000125D8">
        <w:rPr>
          <w:rFonts w:ascii="Times New Roman" w:hAnsi="Times New Roman" w:cs="Times New Roman"/>
          <w:i/>
          <w:sz w:val="24"/>
          <w:szCs w:val="24"/>
        </w:rPr>
        <w:t xml:space="preserve"> Journal of Accounting and Economics</w:t>
      </w:r>
      <w:r w:rsidRPr="000125D8">
        <w:rPr>
          <w:rFonts w:ascii="Times New Roman" w:hAnsi="Times New Roman" w:cs="Times New Roman"/>
          <w:i/>
          <w:sz w:val="24"/>
          <w:szCs w:val="24"/>
        </w:rPr>
        <w:t xml:space="preserve"> </w:t>
      </w:r>
      <w:r w:rsidRPr="000125D8">
        <w:rPr>
          <w:rFonts w:ascii="Times New Roman" w:hAnsi="Times New Roman" w:cs="Times New Roman"/>
          <w:sz w:val="24"/>
          <w:szCs w:val="24"/>
        </w:rPr>
        <w:t>14, 51-89.</w:t>
      </w:r>
    </w:p>
    <w:p w14:paraId="37E39D76" w14:textId="77777777" w:rsidR="00E442E9" w:rsidRDefault="00E442E9" w:rsidP="00F05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47FBAD76" w14:textId="38EF4E79" w:rsidR="0051108B" w:rsidRDefault="0051108B" w:rsidP="00F64A18">
      <w:pPr>
        <w:spacing w:after="0" w:line="240" w:lineRule="auto"/>
        <w:ind w:left="360" w:hanging="360"/>
        <w:rPr>
          <w:rFonts w:ascii="Times New Roman" w:hAnsi="Times New Roman" w:cs="Times New Roman"/>
          <w:sz w:val="24"/>
          <w:szCs w:val="24"/>
        </w:rPr>
      </w:pPr>
      <w:r w:rsidRPr="008D0EFD">
        <w:rPr>
          <w:rFonts w:ascii="Times New Roman" w:hAnsi="Times New Roman" w:cs="Times New Roman"/>
          <w:sz w:val="24"/>
          <w:szCs w:val="24"/>
        </w:rPr>
        <w:t xml:space="preserve">Dukes, Roland E., Thomas Dyckman, and John Elliott, 1980, “Accounting for Research and </w:t>
      </w:r>
    </w:p>
    <w:p w14:paraId="630B36B3" w14:textId="3AE4419C" w:rsidR="0051108B" w:rsidRDefault="0051108B" w:rsidP="00A11A1E">
      <w:pPr>
        <w:spacing w:after="0" w:line="240" w:lineRule="auto"/>
        <w:ind w:left="360"/>
        <w:rPr>
          <w:rFonts w:ascii="Times New Roman" w:hAnsi="Times New Roman" w:cs="Times New Roman"/>
          <w:sz w:val="24"/>
          <w:szCs w:val="24"/>
        </w:rPr>
      </w:pPr>
      <w:r w:rsidRPr="008D0EFD">
        <w:rPr>
          <w:rFonts w:ascii="Times New Roman" w:hAnsi="Times New Roman" w:cs="Times New Roman"/>
          <w:sz w:val="24"/>
          <w:szCs w:val="24"/>
        </w:rPr>
        <w:t xml:space="preserve">Development Costs: The Impact on Research and Development Expenditures”, </w:t>
      </w:r>
      <w:r w:rsidRPr="008D0EFD">
        <w:rPr>
          <w:rFonts w:ascii="Times New Roman" w:hAnsi="Times New Roman" w:cs="Times New Roman"/>
          <w:i/>
          <w:sz w:val="24"/>
          <w:szCs w:val="24"/>
        </w:rPr>
        <w:t>Journal of Accounting Research</w:t>
      </w:r>
      <w:r w:rsidR="001C2AC4">
        <w:rPr>
          <w:rFonts w:ascii="Times New Roman" w:hAnsi="Times New Roman" w:cs="Times New Roman"/>
          <w:i/>
          <w:sz w:val="24"/>
          <w:szCs w:val="24"/>
        </w:rPr>
        <w:t xml:space="preserve"> </w:t>
      </w:r>
      <w:r w:rsidRPr="008D0EFD">
        <w:rPr>
          <w:rFonts w:ascii="Times New Roman" w:hAnsi="Times New Roman" w:cs="Times New Roman"/>
          <w:sz w:val="24"/>
          <w:szCs w:val="24"/>
        </w:rPr>
        <w:t>18 Supplement, 1-26.</w:t>
      </w:r>
    </w:p>
    <w:p w14:paraId="0F8BDD4B" w14:textId="77777777" w:rsidR="00BF7F91" w:rsidRDefault="00BF7F91" w:rsidP="00772077">
      <w:pPr>
        <w:tabs>
          <w:tab w:val="left" w:pos="360"/>
        </w:tabs>
        <w:spacing w:after="0" w:line="240" w:lineRule="auto"/>
        <w:rPr>
          <w:rFonts w:ascii="Times New Roman" w:hAnsi="Times New Roman" w:cs="Times New Roman"/>
          <w:sz w:val="24"/>
          <w:szCs w:val="24"/>
        </w:rPr>
      </w:pPr>
    </w:p>
    <w:p w14:paraId="180B3B42" w14:textId="77777777" w:rsidR="007B511C" w:rsidRDefault="00BF7F91" w:rsidP="00F64A18">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Elliott, John, Gordon Richardson, Thomas Dyckman, and Roland Dukes, 1984, “The Impact </w:t>
      </w:r>
    </w:p>
    <w:p w14:paraId="03B52E99" w14:textId="6581C331" w:rsidR="00BF7F91" w:rsidRDefault="00F64A18" w:rsidP="00F64A18">
      <w:pPr>
        <w:tabs>
          <w:tab w:val="left" w:pos="360"/>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ab/>
      </w:r>
      <w:r w:rsidR="00BF7F91">
        <w:rPr>
          <w:rFonts w:ascii="Times New Roman" w:hAnsi="Times New Roman" w:cs="Times New Roman"/>
          <w:sz w:val="24"/>
          <w:szCs w:val="24"/>
        </w:rPr>
        <w:t xml:space="preserve">of SFAS No. 2 on Firm Expenditures on Research and Development: Replications and Extensions”, </w:t>
      </w:r>
      <w:r w:rsidR="00BF7F91" w:rsidRPr="008D0EFD">
        <w:rPr>
          <w:rFonts w:ascii="Times New Roman" w:hAnsi="Times New Roman" w:cs="Times New Roman"/>
          <w:i/>
          <w:sz w:val="24"/>
          <w:szCs w:val="24"/>
        </w:rPr>
        <w:t>Journal of Accounting</w:t>
      </w:r>
      <w:r w:rsidR="00BF7F91">
        <w:rPr>
          <w:rFonts w:ascii="Times New Roman" w:hAnsi="Times New Roman" w:cs="Times New Roman"/>
          <w:i/>
          <w:sz w:val="24"/>
          <w:szCs w:val="24"/>
        </w:rPr>
        <w:t xml:space="preserve"> </w:t>
      </w:r>
      <w:r w:rsidR="00BF7F91" w:rsidRPr="008D0EFD">
        <w:rPr>
          <w:rFonts w:ascii="Times New Roman" w:hAnsi="Times New Roman" w:cs="Times New Roman"/>
          <w:i/>
          <w:sz w:val="24"/>
          <w:szCs w:val="24"/>
        </w:rPr>
        <w:t>Research</w:t>
      </w:r>
      <w:r w:rsidR="00BF7F91">
        <w:rPr>
          <w:rFonts w:ascii="Times New Roman" w:hAnsi="Times New Roman" w:cs="Times New Roman"/>
          <w:sz w:val="24"/>
          <w:szCs w:val="24"/>
        </w:rPr>
        <w:t xml:space="preserve"> 22, 85-102.</w:t>
      </w:r>
    </w:p>
    <w:p w14:paraId="18CEC7A3" w14:textId="4FCD81F2" w:rsidR="00BF2BEA" w:rsidRDefault="00BF2BEA" w:rsidP="00772077">
      <w:pPr>
        <w:tabs>
          <w:tab w:val="left" w:pos="360"/>
        </w:tabs>
        <w:spacing w:after="0" w:line="240" w:lineRule="auto"/>
        <w:rPr>
          <w:rFonts w:ascii="Times New Roman" w:hAnsi="Times New Roman" w:cs="Times New Roman"/>
          <w:sz w:val="24"/>
          <w:szCs w:val="24"/>
        </w:rPr>
      </w:pPr>
    </w:p>
    <w:p w14:paraId="419D0934" w14:textId="77777777" w:rsidR="00BF2BEA" w:rsidRDefault="00BF2BEA" w:rsidP="00F64A18">
      <w:pPr>
        <w:spacing w:after="0" w:line="240" w:lineRule="auto"/>
        <w:ind w:left="360" w:hanging="360"/>
        <w:rPr>
          <w:rFonts w:ascii="Times New Roman" w:hAnsi="Times New Roman" w:cs="Times New Roman"/>
          <w:i/>
          <w:iCs/>
          <w:sz w:val="24"/>
          <w:szCs w:val="24"/>
        </w:rPr>
      </w:pPr>
      <w:r>
        <w:rPr>
          <w:rFonts w:ascii="Times New Roman" w:hAnsi="Times New Roman" w:cs="Times New Roman"/>
          <w:sz w:val="24"/>
          <w:szCs w:val="24"/>
        </w:rPr>
        <w:t xml:space="preserve">Financial Accounting Standards Board, 1974, </w:t>
      </w:r>
      <w:r w:rsidRPr="00A92E41">
        <w:rPr>
          <w:rFonts w:ascii="Times New Roman" w:hAnsi="Times New Roman" w:cs="Times New Roman"/>
          <w:i/>
          <w:iCs/>
          <w:sz w:val="24"/>
          <w:szCs w:val="24"/>
        </w:rPr>
        <w:t xml:space="preserve">Statement of Financial Accounting Standards </w:t>
      </w:r>
    </w:p>
    <w:p w14:paraId="19FEF091" w14:textId="5FD00F97" w:rsidR="00BF2BEA" w:rsidRPr="00BF2BEA" w:rsidRDefault="00BF2BEA" w:rsidP="00F64A18">
      <w:pPr>
        <w:spacing w:after="0" w:line="240" w:lineRule="auto"/>
        <w:ind w:left="360"/>
        <w:rPr>
          <w:rFonts w:ascii="Times New Roman" w:hAnsi="Times New Roman" w:cs="Times New Roman"/>
          <w:sz w:val="24"/>
          <w:szCs w:val="24"/>
        </w:rPr>
      </w:pPr>
      <w:r>
        <w:rPr>
          <w:rFonts w:ascii="Times New Roman" w:hAnsi="Times New Roman" w:cs="Times New Roman"/>
          <w:i/>
          <w:iCs/>
          <w:sz w:val="24"/>
          <w:szCs w:val="24"/>
        </w:rPr>
        <w:t>N</w:t>
      </w:r>
      <w:r w:rsidRPr="00A92E41">
        <w:rPr>
          <w:rFonts w:ascii="Times New Roman" w:hAnsi="Times New Roman" w:cs="Times New Roman"/>
          <w:i/>
          <w:iCs/>
          <w:sz w:val="24"/>
          <w:szCs w:val="24"/>
        </w:rPr>
        <w:t>o. 2 – Accounting for Research and Development Costs</w:t>
      </w:r>
      <w:r>
        <w:rPr>
          <w:rFonts w:ascii="Times New Roman" w:hAnsi="Times New Roman" w:cs="Times New Roman"/>
          <w:sz w:val="24"/>
          <w:szCs w:val="24"/>
        </w:rPr>
        <w:t>.</w:t>
      </w:r>
    </w:p>
    <w:p w14:paraId="559BE492" w14:textId="77777777" w:rsidR="00D34A92" w:rsidRPr="008D0EFD" w:rsidRDefault="00D34A92" w:rsidP="00F0500F">
      <w:pPr>
        <w:spacing w:after="0" w:line="240" w:lineRule="auto"/>
        <w:rPr>
          <w:rFonts w:ascii="Times New Roman" w:hAnsi="Times New Roman" w:cs="Times New Roman"/>
          <w:sz w:val="24"/>
          <w:szCs w:val="24"/>
        </w:rPr>
      </w:pPr>
    </w:p>
    <w:p w14:paraId="5B380EDA" w14:textId="13893E63" w:rsidR="008D0EFD" w:rsidRDefault="008D0EFD" w:rsidP="00772077">
      <w:pPr>
        <w:spacing w:after="0" w:line="240" w:lineRule="auto"/>
        <w:ind w:left="360" w:hanging="360"/>
        <w:rPr>
          <w:rFonts w:ascii="Times New Roman" w:hAnsi="Times New Roman" w:cs="Times New Roman"/>
          <w:sz w:val="24"/>
          <w:szCs w:val="24"/>
        </w:rPr>
      </w:pPr>
      <w:r w:rsidRPr="008D0EFD">
        <w:rPr>
          <w:rFonts w:ascii="Times New Roman" w:hAnsi="Times New Roman" w:cs="Times New Roman"/>
          <w:sz w:val="24"/>
          <w:szCs w:val="24"/>
        </w:rPr>
        <w:t>Graham, John R., Campbell R. Harvey, and Shiva Rajgopal, 2005, “The Economic Implications</w:t>
      </w:r>
      <w:r w:rsidR="007B511C">
        <w:rPr>
          <w:rFonts w:ascii="Times New Roman" w:hAnsi="Times New Roman" w:cs="Times New Roman"/>
          <w:sz w:val="24"/>
          <w:szCs w:val="24"/>
        </w:rPr>
        <w:t xml:space="preserve"> </w:t>
      </w:r>
      <w:r w:rsidRPr="008D0EFD">
        <w:rPr>
          <w:rFonts w:ascii="Times New Roman" w:hAnsi="Times New Roman" w:cs="Times New Roman"/>
          <w:sz w:val="24"/>
          <w:szCs w:val="24"/>
        </w:rPr>
        <w:t xml:space="preserve">of Corporate Financial Reporting”, </w:t>
      </w:r>
      <w:r w:rsidRPr="008D0EFD">
        <w:rPr>
          <w:rFonts w:ascii="Times New Roman" w:hAnsi="Times New Roman" w:cs="Times New Roman"/>
          <w:i/>
          <w:sz w:val="24"/>
          <w:szCs w:val="24"/>
        </w:rPr>
        <w:t>Journal of Accounting and</w:t>
      </w:r>
      <w:r w:rsidR="00772077">
        <w:rPr>
          <w:rFonts w:ascii="Times New Roman" w:hAnsi="Times New Roman" w:cs="Times New Roman"/>
          <w:i/>
          <w:sz w:val="24"/>
          <w:szCs w:val="24"/>
        </w:rPr>
        <w:t xml:space="preserve"> </w:t>
      </w:r>
      <w:r w:rsidRPr="008D0EFD">
        <w:rPr>
          <w:rFonts w:ascii="Times New Roman" w:hAnsi="Times New Roman" w:cs="Times New Roman"/>
          <w:i/>
          <w:sz w:val="24"/>
          <w:szCs w:val="24"/>
        </w:rPr>
        <w:t>Economics</w:t>
      </w:r>
      <w:r>
        <w:rPr>
          <w:rFonts w:ascii="Times New Roman" w:hAnsi="Times New Roman" w:cs="Times New Roman"/>
          <w:sz w:val="24"/>
          <w:szCs w:val="24"/>
        </w:rPr>
        <w:t xml:space="preserve"> 40, </w:t>
      </w:r>
      <w:r w:rsidRPr="008D0EFD">
        <w:rPr>
          <w:rFonts w:ascii="Times New Roman" w:hAnsi="Times New Roman" w:cs="Times New Roman"/>
          <w:sz w:val="24"/>
          <w:szCs w:val="24"/>
        </w:rPr>
        <w:t>3-73</w:t>
      </w:r>
      <w:r w:rsidR="00E15CEF">
        <w:rPr>
          <w:rFonts w:ascii="Times New Roman" w:hAnsi="Times New Roman" w:cs="Times New Roman"/>
          <w:sz w:val="24"/>
          <w:szCs w:val="24"/>
        </w:rPr>
        <w:t>.</w:t>
      </w:r>
    </w:p>
    <w:p w14:paraId="0698FAEC" w14:textId="77777777" w:rsidR="00186C8C" w:rsidRDefault="00186C8C" w:rsidP="00F0500F">
      <w:pPr>
        <w:spacing w:after="0" w:line="240" w:lineRule="auto"/>
        <w:rPr>
          <w:rFonts w:ascii="Times New Roman" w:hAnsi="Times New Roman" w:cs="Times New Roman"/>
          <w:sz w:val="24"/>
          <w:szCs w:val="24"/>
        </w:rPr>
      </w:pPr>
    </w:p>
    <w:p w14:paraId="0603E676" w14:textId="77777777" w:rsidR="00ED425F" w:rsidRDefault="00186C8C" w:rsidP="00772077">
      <w:pPr>
        <w:pStyle w:val="EndNoteBibliography"/>
        <w:ind w:left="360" w:hanging="360"/>
        <w:rPr>
          <w:sz w:val="24"/>
          <w:szCs w:val="24"/>
        </w:rPr>
      </w:pPr>
      <w:r w:rsidRPr="00ED425F">
        <w:rPr>
          <w:sz w:val="24"/>
          <w:szCs w:val="24"/>
        </w:rPr>
        <w:t>Gunny</w:t>
      </w:r>
      <w:r w:rsidR="00ED425F" w:rsidRPr="00ED425F">
        <w:rPr>
          <w:sz w:val="24"/>
          <w:szCs w:val="24"/>
        </w:rPr>
        <w:t>, Katherine, 2010, “</w:t>
      </w:r>
      <w:r w:rsidR="00ED425F">
        <w:rPr>
          <w:sz w:val="24"/>
          <w:szCs w:val="24"/>
        </w:rPr>
        <w:t>The relation Between Earnings Management Using Real Activities</w:t>
      </w:r>
    </w:p>
    <w:p w14:paraId="2AE95904" w14:textId="459A26AB" w:rsidR="00ED425F" w:rsidRDefault="00ED425F" w:rsidP="00772077">
      <w:pPr>
        <w:pStyle w:val="EndNoteBibliography"/>
        <w:ind w:left="360" w:hanging="360"/>
        <w:rPr>
          <w:sz w:val="24"/>
          <w:szCs w:val="24"/>
        </w:rPr>
      </w:pPr>
      <w:r>
        <w:rPr>
          <w:sz w:val="24"/>
          <w:szCs w:val="24"/>
        </w:rPr>
        <w:t xml:space="preserve"> </w:t>
      </w:r>
      <w:r w:rsidR="00772077">
        <w:rPr>
          <w:sz w:val="24"/>
          <w:szCs w:val="24"/>
        </w:rPr>
        <w:tab/>
      </w:r>
      <w:r>
        <w:rPr>
          <w:sz w:val="24"/>
          <w:szCs w:val="24"/>
        </w:rPr>
        <w:t xml:space="preserve">Maipulation and Future Performance: Evidence From Meeting Earnings Banchmarks”, </w:t>
      </w:r>
    </w:p>
    <w:p w14:paraId="41AE4C93" w14:textId="0FC8154E" w:rsidR="00186C8C" w:rsidRPr="00ED425F" w:rsidRDefault="00ED425F" w:rsidP="00772077">
      <w:pPr>
        <w:pStyle w:val="EndNoteBibliography"/>
        <w:ind w:left="360" w:firstLine="0"/>
        <w:rPr>
          <w:sz w:val="24"/>
          <w:szCs w:val="24"/>
        </w:rPr>
      </w:pPr>
      <w:r w:rsidRPr="00ED425F">
        <w:rPr>
          <w:i/>
          <w:sz w:val="24"/>
          <w:szCs w:val="24"/>
        </w:rPr>
        <w:t>Contemporary Acccounting Research</w:t>
      </w:r>
      <w:r>
        <w:rPr>
          <w:sz w:val="24"/>
          <w:szCs w:val="24"/>
        </w:rPr>
        <w:t xml:space="preserve"> 27, 855-888.</w:t>
      </w:r>
    </w:p>
    <w:p w14:paraId="56BD87E6" w14:textId="77777777" w:rsidR="00B07D60" w:rsidRDefault="00B07D60" w:rsidP="00F35E3D">
      <w:pPr>
        <w:spacing w:after="0" w:line="240" w:lineRule="auto"/>
        <w:rPr>
          <w:rFonts w:ascii="Times New Roman" w:hAnsi="Times New Roman" w:cs="Times New Roman"/>
          <w:sz w:val="24"/>
          <w:szCs w:val="24"/>
        </w:rPr>
      </w:pPr>
    </w:p>
    <w:p w14:paraId="0EF05408" w14:textId="5A8E6132" w:rsidR="00C07749" w:rsidRDefault="00C07749" w:rsidP="00772077">
      <w:pPr>
        <w:spacing w:after="0" w:line="240" w:lineRule="auto"/>
        <w:ind w:left="360" w:hanging="360"/>
        <w:rPr>
          <w:rFonts w:ascii="Times New Roman" w:hAnsi="Times New Roman"/>
          <w:sz w:val="24"/>
          <w:szCs w:val="24"/>
        </w:rPr>
      </w:pPr>
      <w:r>
        <w:rPr>
          <w:rFonts w:ascii="Times New Roman" w:hAnsi="Times New Roman"/>
          <w:sz w:val="24"/>
          <w:szCs w:val="24"/>
        </w:rPr>
        <w:t xml:space="preserve">Hainmueller, Jens, 2012, “Entropy balancing for causal effects: A multivariate reweighting method to produce balanced samples in observational studies”, </w:t>
      </w:r>
      <w:r>
        <w:rPr>
          <w:rFonts w:ascii="Times New Roman" w:hAnsi="Times New Roman"/>
          <w:i/>
          <w:sz w:val="24"/>
          <w:szCs w:val="24"/>
        </w:rPr>
        <w:t xml:space="preserve">Political Analysis </w:t>
      </w:r>
      <w:r>
        <w:rPr>
          <w:rFonts w:ascii="Times New Roman" w:hAnsi="Times New Roman"/>
          <w:sz w:val="24"/>
          <w:szCs w:val="24"/>
        </w:rPr>
        <w:t>20, 25-46</w:t>
      </w:r>
      <w:r w:rsidR="00E15CEF">
        <w:rPr>
          <w:rFonts w:ascii="Times New Roman" w:hAnsi="Times New Roman"/>
          <w:sz w:val="24"/>
          <w:szCs w:val="24"/>
        </w:rPr>
        <w:t>.</w:t>
      </w:r>
    </w:p>
    <w:p w14:paraId="0B55ED72" w14:textId="77777777" w:rsidR="00F35E3D" w:rsidRDefault="00F35E3D" w:rsidP="00F35E3D">
      <w:pPr>
        <w:spacing w:after="0" w:line="240" w:lineRule="auto"/>
        <w:ind w:left="720" w:hanging="720"/>
        <w:rPr>
          <w:rFonts w:ascii="Times New Roman" w:hAnsi="Times New Roman"/>
          <w:sz w:val="24"/>
          <w:szCs w:val="24"/>
        </w:rPr>
      </w:pPr>
    </w:p>
    <w:p w14:paraId="29EDC559" w14:textId="2F5C9ACA" w:rsidR="008D77FD" w:rsidRDefault="00CA2B32" w:rsidP="00772077">
      <w:pPr>
        <w:ind w:left="360" w:hanging="360"/>
        <w:rPr>
          <w:rFonts w:ascii="Times New Roman" w:hAnsi="Times New Roman" w:cs="Times New Roman"/>
          <w:sz w:val="24"/>
          <w:szCs w:val="24"/>
        </w:rPr>
      </w:pPr>
      <w:r>
        <w:rPr>
          <w:rFonts w:ascii="Times New Roman" w:hAnsi="Times New Roman"/>
          <w:sz w:val="24"/>
          <w:szCs w:val="24"/>
        </w:rPr>
        <w:t xml:space="preserve">Hainmueller, Jens and Yiqing Xu, 2013, </w:t>
      </w:r>
      <w:r w:rsidR="009738C8">
        <w:rPr>
          <w:rFonts w:ascii="Times New Roman" w:hAnsi="Times New Roman"/>
          <w:sz w:val="24"/>
          <w:szCs w:val="24"/>
        </w:rPr>
        <w:t>“</w:t>
      </w:r>
      <w:r>
        <w:rPr>
          <w:rFonts w:ascii="Times New Roman" w:hAnsi="Times New Roman"/>
          <w:sz w:val="24"/>
          <w:szCs w:val="24"/>
        </w:rPr>
        <w:t>Ebalance: A Stata package for entropy balancing</w:t>
      </w:r>
      <w:r w:rsidR="009738C8">
        <w:rPr>
          <w:rFonts w:ascii="Times New Roman" w:hAnsi="Times New Roman"/>
          <w:sz w:val="24"/>
          <w:szCs w:val="24"/>
        </w:rPr>
        <w:t>”</w:t>
      </w:r>
      <w:r>
        <w:rPr>
          <w:rFonts w:ascii="Times New Roman" w:hAnsi="Times New Roman"/>
          <w:sz w:val="24"/>
          <w:szCs w:val="24"/>
        </w:rPr>
        <w:t xml:space="preserve"> working paper</w:t>
      </w:r>
      <w:r w:rsidR="009738C8">
        <w:rPr>
          <w:rFonts w:ascii="Times New Roman" w:hAnsi="Times New Roman"/>
          <w:sz w:val="24"/>
          <w:szCs w:val="24"/>
        </w:rPr>
        <w:t>,</w:t>
      </w:r>
      <w:r>
        <w:rPr>
          <w:rFonts w:ascii="Times New Roman" w:hAnsi="Times New Roman"/>
          <w:sz w:val="24"/>
          <w:szCs w:val="24"/>
        </w:rPr>
        <w:t xml:space="preserve"> Stanford </w:t>
      </w:r>
      <w:r w:rsidR="00B34F46">
        <w:rPr>
          <w:rFonts w:ascii="Times New Roman" w:hAnsi="Times New Roman"/>
          <w:sz w:val="24"/>
          <w:szCs w:val="24"/>
        </w:rPr>
        <w:t>University</w:t>
      </w:r>
      <w:r>
        <w:rPr>
          <w:rFonts w:ascii="Times New Roman" w:hAnsi="Times New Roman"/>
          <w:sz w:val="24"/>
          <w:szCs w:val="24"/>
        </w:rPr>
        <w:t>.</w:t>
      </w:r>
    </w:p>
    <w:p w14:paraId="0D82D5B2" w14:textId="77777777" w:rsidR="008C6387" w:rsidRDefault="008C6387" w:rsidP="00772077">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Horowitz, Bertrand and Richard Kolodny, 1980, “The Economic Effects of Involuntary </w:t>
      </w:r>
    </w:p>
    <w:p w14:paraId="5CF3B1B0" w14:textId="39AA3795" w:rsidR="008C6387" w:rsidRDefault="008C6387" w:rsidP="00772077">
      <w:pPr>
        <w:spacing w:after="0" w:line="240" w:lineRule="auto"/>
        <w:ind w:left="360" w:hanging="360"/>
        <w:rPr>
          <w:rFonts w:ascii="Times New Roman" w:hAnsi="Times New Roman" w:cs="Times New Roman"/>
          <w:i/>
          <w:sz w:val="24"/>
          <w:szCs w:val="24"/>
        </w:rPr>
      </w:pPr>
      <w:r>
        <w:rPr>
          <w:rFonts w:ascii="Times New Roman" w:hAnsi="Times New Roman" w:cs="Times New Roman"/>
          <w:sz w:val="24"/>
          <w:szCs w:val="24"/>
        </w:rPr>
        <w:tab/>
        <w:t>Uniformit</w:t>
      </w:r>
      <w:r w:rsidR="007B3D2F">
        <w:rPr>
          <w:rFonts w:ascii="Times New Roman" w:hAnsi="Times New Roman" w:cs="Times New Roman"/>
          <w:sz w:val="24"/>
          <w:szCs w:val="24"/>
        </w:rPr>
        <w:t>y in the Financial Reporting of</w:t>
      </w:r>
      <w:r>
        <w:rPr>
          <w:rFonts w:ascii="Times New Roman" w:hAnsi="Times New Roman" w:cs="Times New Roman"/>
          <w:sz w:val="24"/>
          <w:szCs w:val="24"/>
        </w:rPr>
        <w:t xml:space="preserve"> R&amp;D Expenditures”, </w:t>
      </w:r>
      <w:r w:rsidRPr="008D0EFD">
        <w:rPr>
          <w:rFonts w:ascii="Times New Roman" w:hAnsi="Times New Roman" w:cs="Times New Roman"/>
          <w:i/>
          <w:sz w:val="24"/>
          <w:szCs w:val="24"/>
        </w:rPr>
        <w:t xml:space="preserve">Journal of Accounting </w:t>
      </w:r>
    </w:p>
    <w:p w14:paraId="0D579FF0" w14:textId="60984935" w:rsidR="008C6387" w:rsidRDefault="008C6387" w:rsidP="00772077">
      <w:pPr>
        <w:spacing w:after="0" w:line="240" w:lineRule="auto"/>
        <w:ind w:left="360" w:hanging="360"/>
        <w:rPr>
          <w:rFonts w:ascii="Times New Roman" w:hAnsi="Times New Roman" w:cs="Times New Roman"/>
          <w:sz w:val="24"/>
          <w:szCs w:val="24"/>
        </w:rPr>
      </w:pPr>
      <w:r>
        <w:rPr>
          <w:rFonts w:ascii="Times New Roman" w:hAnsi="Times New Roman" w:cs="Times New Roman"/>
          <w:i/>
          <w:sz w:val="24"/>
          <w:szCs w:val="24"/>
        </w:rPr>
        <w:tab/>
      </w:r>
      <w:r w:rsidRPr="008D0EFD">
        <w:rPr>
          <w:rFonts w:ascii="Times New Roman" w:hAnsi="Times New Roman" w:cs="Times New Roman"/>
          <w:i/>
          <w:sz w:val="24"/>
          <w:szCs w:val="24"/>
        </w:rPr>
        <w:t>Research</w:t>
      </w:r>
      <w:r>
        <w:rPr>
          <w:rFonts w:ascii="Times New Roman" w:hAnsi="Times New Roman" w:cs="Times New Roman"/>
          <w:sz w:val="24"/>
          <w:szCs w:val="24"/>
        </w:rPr>
        <w:t xml:space="preserve"> 18 Supplement, 38-74</w:t>
      </w:r>
      <w:r w:rsidRPr="008D0EFD">
        <w:rPr>
          <w:rFonts w:ascii="Times New Roman" w:hAnsi="Times New Roman" w:cs="Times New Roman"/>
          <w:sz w:val="24"/>
          <w:szCs w:val="24"/>
        </w:rPr>
        <w:t>.</w:t>
      </w:r>
    </w:p>
    <w:p w14:paraId="76B554DA" w14:textId="77777777" w:rsidR="00DB0F79" w:rsidRDefault="00DB0F79" w:rsidP="00F0500F">
      <w:pPr>
        <w:spacing w:after="0" w:line="240" w:lineRule="auto"/>
        <w:rPr>
          <w:rFonts w:ascii="Times New Roman" w:hAnsi="Times New Roman" w:cs="Times New Roman"/>
          <w:sz w:val="24"/>
          <w:szCs w:val="24"/>
        </w:rPr>
      </w:pPr>
    </w:p>
    <w:p w14:paraId="51B7F417" w14:textId="77777777" w:rsidR="00DB0F79" w:rsidRDefault="00DB0F79" w:rsidP="00772077">
      <w:pPr>
        <w:pStyle w:val="FootnoteText"/>
        <w:ind w:left="360" w:hanging="360"/>
        <w:rPr>
          <w:rFonts w:ascii="Times New Roman" w:hAnsi="Times New Roman" w:cs="Times New Roman"/>
          <w:color w:val="222222"/>
          <w:sz w:val="24"/>
          <w:szCs w:val="24"/>
          <w:shd w:val="clear" w:color="auto" w:fill="FFFFFF"/>
        </w:rPr>
      </w:pPr>
      <w:r w:rsidRPr="00BF3AEE">
        <w:rPr>
          <w:rFonts w:ascii="Times New Roman" w:hAnsi="Times New Roman" w:cs="Times New Roman"/>
          <w:sz w:val="24"/>
          <w:szCs w:val="24"/>
        </w:rPr>
        <w:t>Horton, Joanne and George Serafeim, 2010, “</w:t>
      </w:r>
      <w:r w:rsidRPr="00BF3AEE">
        <w:rPr>
          <w:rFonts w:ascii="Times New Roman" w:hAnsi="Times New Roman" w:cs="Times New Roman"/>
          <w:color w:val="222222"/>
          <w:sz w:val="24"/>
          <w:szCs w:val="24"/>
          <w:shd w:val="clear" w:color="auto" w:fill="FFFFFF"/>
        </w:rPr>
        <w:t xml:space="preserve">Market Reaction to and Valuation of IFRS </w:t>
      </w:r>
    </w:p>
    <w:p w14:paraId="191BE76E" w14:textId="77777777" w:rsidR="00DB0F79" w:rsidRDefault="00DB0F79" w:rsidP="00772077">
      <w:pPr>
        <w:pStyle w:val="FootnoteText"/>
        <w:ind w:left="360" w:hanging="360"/>
        <w:rPr>
          <w:rFonts w:ascii="Times New Roman" w:hAnsi="Times New Roman" w:cs="Times New Roman"/>
          <w:i/>
          <w:iCs/>
          <w:color w:val="222222"/>
          <w:sz w:val="24"/>
          <w:szCs w:val="24"/>
          <w:shd w:val="clear" w:color="auto" w:fill="FFFFFF"/>
        </w:rPr>
      </w:pPr>
      <w:r>
        <w:rPr>
          <w:rFonts w:ascii="Times New Roman" w:hAnsi="Times New Roman" w:cs="Times New Roman"/>
          <w:color w:val="222222"/>
          <w:sz w:val="24"/>
          <w:szCs w:val="24"/>
          <w:shd w:val="clear" w:color="auto" w:fill="FFFFFF"/>
        </w:rPr>
        <w:tab/>
      </w:r>
      <w:r w:rsidRPr="00BF3AEE">
        <w:rPr>
          <w:rFonts w:ascii="Times New Roman" w:hAnsi="Times New Roman" w:cs="Times New Roman"/>
          <w:color w:val="222222"/>
          <w:sz w:val="24"/>
          <w:szCs w:val="24"/>
          <w:shd w:val="clear" w:color="auto" w:fill="FFFFFF"/>
        </w:rPr>
        <w:t xml:space="preserve">Reconciliation Adjustments: First Evidence from the UK”, </w:t>
      </w:r>
      <w:r w:rsidRPr="00BF3AEE">
        <w:rPr>
          <w:rFonts w:ascii="Times New Roman" w:hAnsi="Times New Roman" w:cs="Times New Roman"/>
          <w:i/>
          <w:iCs/>
          <w:color w:val="222222"/>
          <w:sz w:val="24"/>
          <w:szCs w:val="24"/>
          <w:shd w:val="clear" w:color="auto" w:fill="FFFFFF"/>
        </w:rPr>
        <w:t xml:space="preserve">Review of Accounting </w:t>
      </w:r>
    </w:p>
    <w:p w14:paraId="4059D7C8" w14:textId="7638A8EC" w:rsidR="00DB0F79" w:rsidRDefault="00DB0F79" w:rsidP="00772077">
      <w:pPr>
        <w:pStyle w:val="FootnoteText"/>
        <w:ind w:left="360" w:hanging="360"/>
        <w:rPr>
          <w:rFonts w:ascii="Times New Roman" w:hAnsi="Times New Roman" w:cs="Times New Roman"/>
          <w:sz w:val="24"/>
          <w:szCs w:val="24"/>
        </w:rPr>
      </w:pPr>
      <w:r>
        <w:rPr>
          <w:rFonts w:ascii="Times New Roman" w:hAnsi="Times New Roman" w:cs="Times New Roman"/>
          <w:i/>
          <w:iCs/>
          <w:color w:val="222222"/>
          <w:sz w:val="24"/>
          <w:szCs w:val="24"/>
          <w:shd w:val="clear" w:color="auto" w:fill="FFFFFF"/>
        </w:rPr>
        <w:tab/>
      </w:r>
      <w:r w:rsidRPr="00BF3AEE">
        <w:rPr>
          <w:rFonts w:ascii="Times New Roman" w:hAnsi="Times New Roman" w:cs="Times New Roman"/>
          <w:i/>
          <w:iCs/>
          <w:color w:val="222222"/>
          <w:sz w:val="24"/>
          <w:szCs w:val="24"/>
          <w:shd w:val="clear" w:color="auto" w:fill="FFFFFF"/>
        </w:rPr>
        <w:t xml:space="preserve">Studies </w:t>
      </w:r>
      <w:r w:rsidRPr="00BF3AEE">
        <w:rPr>
          <w:rFonts w:ascii="Times New Roman" w:hAnsi="Times New Roman" w:cs="Times New Roman"/>
          <w:color w:val="222222"/>
          <w:sz w:val="24"/>
          <w:szCs w:val="24"/>
          <w:shd w:val="clear" w:color="auto" w:fill="FFFFFF"/>
        </w:rPr>
        <w:t>15, 725-751.</w:t>
      </w:r>
    </w:p>
    <w:p w14:paraId="27CFD1F3" w14:textId="77777777" w:rsidR="000622BF" w:rsidRDefault="000622BF" w:rsidP="00423E4D">
      <w:pPr>
        <w:spacing w:after="0" w:line="240" w:lineRule="auto"/>
        <w:rPr>
          <w:rFonts w:ascii="Times New Roman" w:hAnsi="Times New Roman" w:cs="Times New Roman"/>
          <w:sz w:val="24"/>
          <w:szCs w:val="24"/>
        </w:rPr>
      </w:pPr>
    </w:p>
    <w:p w14:paraId="02C672A3" w14:textId="7074E7FD" w:rsidR="00A36A44" w:rsidRPr="0054143B" w:rsidRDefault="00A36A44" w:rsidP="00772077">
      <w:pPr>
        <w:spacing w:after="0" w:line="240" w:lineRule="auto"/>
        <w:ind w:left="360" w:hanging="360"/>
        <w:rPr>
          <w:rFonts w:ascii="Times New Roman" w:hAnsi="Times New Roman" w:cs="Times New Roman"/>
          <w:i/>
          <w:sz w:val="24"/>
          <w:szCs w:val="24"/>
        </w:rPr>
      </w:pPr>
      <w:r>
        <w:rPr>
          <w:rFonts w:ascii="Times New Roman" w:hAnsi="Times New Roman" w:cs="Times New Roman"/>
          <w:sz w:val="24"/>
          <w:szCs w:val="24"/>
        </w:rPr>
        <w:t>International</w:t>
      </w:r>
      <w:r w:rsidR="00233BBA">
        <w:rPr>
          <w:rFonts w:ascii="Times New Roman" w:hAnsi="Times New Roman" w:cs="Times New Roman"/>
          <w:sz w:val="24"/>
          <w:szCs w:val="24"/>
        </w:rPr>
        <w:t xml:space="preserve"> </w:t>
      </w:r>
      <w:r>
        <w:rPr>
          <w:rFonts w:ascii="Times New Roman" w:hAnsi="Times New Roman" w:cs="Times New Roman"/>
          <w:sz w:val="24"/>
          <w:szCs w:val="24"/>
        </w:rPr>
        <w:t xml:space="preserve">Accounting Standards Committee, 1991, </w:t>
      </w:r>
      <w:r w:rsidRPr="0054143B">
        <w:rPr>
          <w:rFonts w:ascii="Times New Roman" w:hAnsi="Times New Roman" w:cs="Times New Roman"/>
          <w:i/>
          <w:sz w:val="24"/>
          <w:szCs w:val="24"/>
        </w:rPr>
        <w:t xml:space="preserve">Exposure Draft E37 – Research and </w:t>
      </w:r>
    </w:p>
    <w:p w14:paraId="6A85BA4F" w14:textId="5A80BD0E" w:rsidR="00A36A44" w:rsidRDefault="00A36A44" w:rsidP="00772077">
      <w:pPr>
        <w:spacing w:after="0" w:line="240" w:lineRule="auto"/>
        <w:ind w:left="360"/>
        <w:rPr>
          <w:rFonts w:ascii="Times New Roman" w:hAnsi="Times New Roman" w:cs="Times New Roman"/>
          <w:i/>
          <w:sz w:val="24"/>
          <w:szCs w:val="24"/>
        </w:rPr>
      </w:pPr>
      <w:r w:rsidRPr="0054143B">
        <w:rPr>
          <w:rFonts w:ascii="Times New Roman" w:hAnsi="Times New Roman" w:cs="Times New Roman"/>
          <w:i/>
          <w:sz w:val="24"/>
          <w:szCs w:val="24"/>
        </w:rPr>
        <w:t>Development Activities.</w:t>
      </w:r>
    </w:p>
    <w:p w14:paraId="17E1B002" w14:textId="77777777" w:rsidR="00772077" w:rsidRPr="0054143B" w:rsidRDefault="00772077" w:rsidP="00772077">
      <w:pPr>
        <w:spacing w:after="0" w:line="240" w:lineRule="auto"/>
        <w:ind w:left="360" w:hanging="360"/>
        <w:rPr>
          <w:rFonts w:ascii="Times New Roman" w:hAnsi="Times New Roman" w:cs="Times New Roman"/>
          <w:i/>
          <w:sz w:val="24"/>
          <w:szCs w:val="24"/>
        </w:rPr>
      </w:pPr>
    </w:p>
    <w:p w14:paraId="5B8156A9" w14:textId="4FF4BDCF" w:rsidR="00A36A44" w:rsidRDefault="00A36A44" w:rsidP="00F050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International Accounting Standards Committee, 1997, </w:t>
      </w:r>
      <w:r w:rsidRPr="0054143B">
        <w:rPr>
          <w:rFonts w:ascii="Times New Roman" w:hAnsi="Times New Roman" w:cs="Times New Roman"/>
          <w:i/>
          <w:sz w:val="24"/>
          <w:szCs w:val="24"/>
        </w:rPr>
        <w:t xml:space="preserve">Exposure Draft </w:t>
      </w:r>
      <w:r w:rsidR="00385176" w:rsidRPr="0054143B">
        <w:rPr>
          <w:rFonts w:ascii="Times New Roman" w:hAnsi="Times New Roman" w:cs="Times New Roman"/>
          <w:i/>
          <w:sz w:val="24"/>
          <w:szCs w:val="24"/>
        </w:rPr>
        <w:t>E60 – Intangible Assets</w:t>
      </w:r>
      <w:r w:rsidR="00385176">
        <w:rPr>
          <w:rFonts w:ascii="Times New Roman" w:hAnsi="Times New Roman" w:cs="Times New Roman"/>
          <w:sz w:val="24"/>
          <w:szCs w:val="24"/>
        </w:rPr>
        <w:t>.</w:t>
      </w:r>
    </w:p>
    <w:p w14:paraId="7B22936D" w14:textId="77777777" w:rsidR="00233BBA" w:rsidRDefault="00233BBA" w:rsidP="00F0500F">
      <w:pPr>
        <w:spacing w:after="0" w:line="240" w:lineRule="auto"/>
        <w:rPr>
          <w:rFonts w:ascii="Times New Roman" w:hAnsi="Times New Roman" w:cs="Times New Roman"/>
          <w:sz w:val="24"/>
          <w:szCs w:val="24"/>
        </w:rPr>
      </w:pPr>
    </w:p>
    <w:p w14:paraId="48377080" w14:textId="77777777" w:rsidR="00414B16" w:rsidRDefault="00414B16" w:rsidP="00414B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International Accounting Standards Committee, 1998, </w:t>
      </w:r>
      <w:r>
        <w:rPr>
          <w:rFonts w:ascii="Times New Roman" w:hAnsi="Times New Roman" w:cs="Times New Roman"/>
          <w:i/>
          <w:sz w:val="24"/>
          <w:szCs w:val="24"/>
        </w:rPr>
        <w:t>IAS 38 – Intangible Assets</w:t>
      </w:r>
      <w:r>
        <w:rPr>
          <w:rFonts w:ascii="Times New Roman" w:hAnsi="Times New Roman" w:cs="Times New Roman"/>
          <w:sz w:val="24"/>
          <w:szCs w:val="24"/>
        </w:rPr>
        <w:t xml:space="preserve">. </w:t>
      </w:r>
    </w:p>
    <w:p w14:paraId="602BA24F" w14:textId="77777777" w:rsidR="00414B16" w:rsidRDefault="00414B16" w:rsidP="00DF264C">
      <w:pPr>
        <w:spacing w:after="0" w:line="240" w:lineRule="auto"/>
        <w:rPr>
          <w:rFonts w:ascii="Times New Roman" w:hAnsi="Times New Roman" w:cs="Times New Roman"/>
          <w:sz w:val="24"/>
          <w:szCs w:val="24"/>
        </w:rPr>
      </w:pPr>
    </w:p>
    <w:p w14:paraId="26494FB9" w14:textId="482A021C" w:rsidR="00DF264C" w:rsidRDefault="00DF264C" w:rsidP="00772077">
      <w:pPr>
        <w:spacing w:after="0" w:line="240" w:lineRule="auto"/>
        <w:ind w:left="360" w:hanging="360"/>
        <w:rPr>
          <w:rFonts w:ascii="Times New Roman" w:eastAsia="Times New Roman" w:hAnsi="Times New Roman" w:cs="Times New Roman"/>
          <w:sz w:val="24"/>
          <w:szCs w:val="24"/>
        </w:rPr>
      </w:pPr>
      <w:r>
        <w:rPr>
          <w:rFonts w:ascii="Times New Roman" w:hAnsi="Times New Roman" w:cs="Times New Roman"/>
          <w:sz w:val="24"/>
          <w:szCs w:val="24"/>
        </w:rPr>
        <w:t xml:space="preserve">Johnston, Rick, Andrew Leone, </w:t>
      </w:r>
      <w:r w:rsidRPr="00DF264C">
        <w:rPr>
          <w:rFonts w:ascii="Times New Roman" w:eastAsia="Times New Roman" w:hAnsi="Times New Roman" w:cs="Times New Roman"/>
          <w:sz w:val="24"/>
          <w:szCs w:val="24"/>
        </w:rPr>
        <w:t xml:space="preserve">Sundaresh Ramnath, </w:t>
      </w:r>
      <w:r>
        <w:rPr>
          <w:rFonts w:ascii="Times New Roman" w:eastAsia="Times New Roman" w:hAnsi="Times New Roman" w:cs="Times New Roman"/>
          <w:sz w:val="24"/>
          <w:szCs w:val="24"/>
        </w:rPr>
        <w:t xml:space="preserve">and </w:t>
      </w:r>
      <w:r w:rsidRPr="00DF264C">
        <w:rPr>
          <w:rFonts w:ascii="Times New Roman" w:eastAsia="Times New Roman" w:hAnsi="Times New Roman" w:cs="Times New Roman"/>
          <w:sz w:val="24"/>
          <w:szCs w:val="24"/>
        </w:rPr>
        <w:t>Ya-wen Yang</w:t>
      </w:r>
      <w:r>
        <w:rPr>
          <w:rFonts w:ascii="Times New Roman" w:eastAsia="Times New Roman" w:hAnsi="Times New Roman" w:cs="Times New Roman"/>
          <w:sz w:val="24"/>
          <w:szCs w:val="24"/>
        </w:rPr>
        <w:t>, 2012, “14 Week</w:t>
      </w:r>
    </w:p>
    <w:p w14:paraId="05A844DF" w14:textId="1582B9B6" w:rsidR="00DF264C" w:rsidRDefault="00DF264C" w:rsidP="00772077">
      <w:pPr>
        <w:spacing w:after="0" w:line="240" w:lineRule="auto"/>
        <w:ind w:left="360" w:hanging="360"/>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772077">
        <w:rPr>
          <w:rFonts w:ascii="Times New Roman" w:eastAsia="Times New Roman" w:hAnsi="Times New Roman" w:cs="Times New Roman"/>
          <w:sz w:val="24"/>
          <w:szCs w:val="24"/>
        </w:rPr>
        <w:tab/>
      </w:r>
      <w:r>
        <w:rPr>
          <w:rFonts w:ascii="Times New Roman" w:eastAsia="Times New Roman" w:hAnsi="Times New Roman" w:cs="Times New Roman"/>
          <w:sz w:val="24"/>
          <w:szCs w:val="24"/>
        </w:rPr>
        <w:t>Quarters”,</w:t>
      </w:r>
      <w:r w:rsidRPr="008D0EFD">
        <w:rPr>
          <w:rFonts w:ascii="Times New Roman" w:hAnsi="Times New Roman" w:cs="Times New Roman"/>
          <w:sz w:val="24"/>
          <w:szCs w:val="24"/>
        </w:rPr>
        <w:t xml:space="preserve"> </w:t>
      </w:r>
      <w:r w:rsidRPr="008D0EFD">
        <w:rPr>
          <w:rFonts w:ascii="Times New Roman" w:hAnsi="Times New Roman" w:cs="Times New Roman"/>
          <w:i/>
          <w:sz w:val="24"/>
          <w:szCs w:val="24"/>
        </w:rPr>
        <w:t>Journal of Accounting and Economics</w:t>
      </w:r>
      <w:r>
        <w:rPr>
          <w:rFonts w:ascii="Times New Roman" w:hAnsi="Times New Roman" w:cs="Times New Roman"/>
          <w:sz w:val="24"/>
          <w:szCs w:val="24"/>
        </w:rPr>
        <w:t xml:space="preserve"> 53, 271-289.</w:t>
      </w:r>
    </w:p>
    <w:p w14:paraId="6A95559F" w14:textId="77777777" w:rsidR="00DF264C" w:rsidRDefault="00DF264C" w:rsidP="00F0500F">
      <w:pPr>
        <w:spacing w:after="0" w:line="240" w:lineRule="auto"/>
        <w:rPr>
          <w:rFonts w:ascii="Times New Roman" w:hAnsi="Times New Roman" w:cs="Times New Roman"/>
          <w:sz w:val="24"/>
          <w:szCs w:val="24"/>
        </w:rPr>
      </w:pPr>
    </w:p>
    <w:p w14:paraId="5133C0DA" w14:textId="77777777" w:rsidR="00CC1123" w:rsidRDefault="00A43F42" w:rsidP="00772077">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Kajuter,</w:t>
      </w:r>
      <w:r w:rsidR="00CC1123">
        <w:rPr>
          <w:rFonts w:ascii="Times New Roman" w:hAnsi="Times New Roman" w:cs="Times New Roman"/>
          <w:sz w:val="24"/>
          <w:szCs w:val="24"/>
        </w:rPr>
        <w:t xml:space="preserve"> Peter, Florian</w:t>
      </w:r>
      <w:r>
        <w:rPr>
          <w:rFonts w:ascii="Times New Roman" w:hAnsi="Times New Roman" w:cs="Times New Roman"/>
          <w:sz w:val="24"/>
          <w:szCs w:val="24"/>
        </w:rPr>
        <w:t xml:space="preserve"> Klassma</w:t>
      </w:r>
      <w:r w:rsidR="00CC1123">
        <w:rPr>
          <w:rFonts w:ascii="Times New Roman" w:hAnsi="Times New Roman" w:cs="Times New Roman"/>
          <w:sz w:val="24"/>
          <w:szCs w:val="24"/>
        </w:rPr>
        <w:t>n</w:t>
      </w:r>
      <w:r>
        <w:rPr>
          <w:rFonts w:ascii="Times New Roman" w:hAnsi="Times New Roman" w:cs="Times New Roman"/>
          <w:sz w:val="24"/>
          <w:szCs w:val="24"/>
        </w:rPr>
        <w:t xml:space="preserve">n, and </w:t>
      </w:r>
      <w:r w:rsidR="00CC1123">
        <w:rPr>
          <w:rFonts w:ascii="Times New Roman" w:hAnsi="Times New Roman" w:cs="Times New Roman"/>
          <w:sz w:val="24"/>
          <w:szCs w:val="24"/>
        </w:rPr>
        <w:t xml:space="preserve">Martin </w:t>
      </w:r>
      <w:r>
        <w:rPr>
          <w:rFonts w:ascii="Times New Roman" w:hAnsi="Times New Roman" w:cs="Times New Roman"/>
          <w:sz w:val="24"/>
          <w:szCs w:val="24"/>
        </w:rPr>
        <w:t>Nienhaus</w:t>
      </w:r>
      <w:r w:rsidR="00CC1123">
        <w:rPr>
          <w:rFonts w:ascii="Times New Roman" w:hAnsi="Times New Roman" w:cs="Times New Roman"/>
          <w:sz w:val="24"/>
          <w:szCs w:val="24"/>
        </w:rPr>
        <w:t xml:space="preserve">, </w:t>
      </w:r>
      <w:r>
        <w:rPr>
          <w:rFonts w:ascii="Times New Roman" w:hAnsi="Times New Roman" w:cs="Times New Roman"/>
          <w:sz w:val="24"/>
          <w:szCs w:val="24"/>
        </w:rPr>
        <w:t>2019</w:t>
      </w:r>
      <w:r w:rsidR="00CC1123">
        <w:rPr>
          <w:rFonts w:ascii="Times New Roman" w:hAnsi="Times New Roman" w:cs="Times New Roman"/>
          <w:sz w:val="24"/>
          <w:szCs w:val="24"/>
        </w:rPr>
        <w:t>, “The Effect of Mandatory</w:t>
      </w:r>
    </w:p>
    <w:p w14:paraId="32F7CAA8" w14:textId="497A3E4A" w:rsidR="00A43F42" w:rsidRDefault="00CC1123" w:rsidP="0077207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Quarterly Reporting on Firm Value”, </w:t>
      </w:r>
      <w:r w:rsidRPr="00CC1123">
        <w:rPr>
          <w:rFonts w:ascii="Times New Roman" w:hAnsi="Times New Roman" w:cs="Times New Roman"/>
          <w:i/>
          <w:iCs/>
          <w:sz w:val="24"/>
          <w:szCs w:val="24"/>
        </w:rPr>
        <w:t>The Accounting Review</w:t>
      </w:r>
      <w:r>
        <w:rPr>
          <w:rFonts w:ascii="Times New Roman" w:hAnsi="Times New Roman" w:cs="Times New Roman"/>
          <w:sz w:val="24"/>
          <w:szCs w:val="24"/>
        </w:rPr>
        <w:t xml:space="preserve"> 94, 251-277.</w:t>
      </w:r>
    </w:p>
    <w:p w14:paraId="6F260C74" w14:textId="67264D98" w:rsidR="006842CE" w:rsidRDefault="006842CE" w:rsidP="00772077">
      <w:pPr>
        <w:spacing w:after="0" w:line="240" w:lineRule="auto"/>
        <w:ind w:left="360" w:hanging="360"/>
        <w:rPr>
          <w:rFonts w:ascii="Times New Roman" w:hAnsi="Times New Roman" w:cs="Times New Roman"/>
          <w:i/>
          <w:sz w:val="24"/>
          <w:szCs w:val="24"/>
        </w:rPr>
      </w:pPr>
      <w:r>
        <w:rPr>
          <w:rFonts w:ascii="Times New Roman" w:hAnsi="Times New Roman" w:cs="Times New Roman"/>
          <w:sz w:val="24"/>
          <w:szCs w:val="24"/>
        </w:rPr>
        <w:t xml:space="preserve">Koh, Ping-Sheng and David Reeb, 2015, “Missing R&amp;D”, </w:t>
      </w:r>
      <w:r w:rsidRPr="008D0EFD">
        <w:rPr>
          <w:rFonts w:ascii="Times New Roman" w:hAnsi="Times New Roman" w:cs="Times New Roman"/>
          <w:i/>
          <w:sz w:val="24"/>
          <w:szCs w:val="24"/>
        </w:rPr>
        <w:t xml:space="preserve">Journal of Accounting and </w:t>
      </w:r>
    </w:p>
    <w:p w14:paraId="09A1C96D" w14:textId="387E03EF" w:rsidR="00DF7115" w:rsidRDefault="006842CE" w:rsidP="00772077">
      <w:pPr>
        <w:pStyle w:val="FootnoteText"/>
        <w:ind w:left="360" w:hanging="360"/>
        <w:rPr>
          <w:rFonts w:ascii="Times New Roman" w:hAnsi="Times New Roman" w:cs="Times New Roman"/>
          <w:sz w:val="24"/>
          <w:szCs w:val="24"/>
        </w:rPr>
      </w:pPr>
      <w:r>
        <w:rPr>
          <w:rFonts w:ascii="Times New Roman" w:hAnsi="Times New Roman" w:cs="Times New Roman"/>
          <w:i/>
          <w:sz w:val="24"/>
          <w:szCs w:val="24"/>
        </w:rPr>
        <w:tab/>
      </w:r>
      <w:r w:rsidRPr="008D0EFD">
        <w:rPr>
          <w:rFonts w:ascii="Times New Roman" w:hAnsi="Times New Roman" w:cs="Times New Roman"/>
          <w:i/>
          <w:sz w:val="24"/>
          <w:szCs w:val="24"/>
        </w:rPr>
        <w:t>Economics</w:t>
      </w:r>
      <w:r>
        <w:rPr>
          <w:rFonts w:ascii="Times New Roman" w:hAnsi="Times New Roman" w:cs="Times New Roman"/>
          <w:i/>
          <w:sz w:val="24"/>
          <w:szCs w:val="24"/>
        </w:rPr>
        <w:t xml:space="preserve"> </w:t>
      </w:r>
      <w:r>
        <w:rPr>
          <w:rFonts w:ascii="Times New Roman" w:hAnsi="Times New Roman" w:cs="Times New Roman"/>
          <w:sz w:val="24"/>
          <w:szCs w:val="24"/>
        </w:rPr>
        <w:t>60, 73-94.</w:t>
      </w:r>
    </w:p>
    <w:p w14:paraId="5569C3D6" w14:textId="77777777" w:rsidR="002B3ABF" w:rsidRDefault="002B3ABF" w:rsidP="007E4331">
      <w:pPr>
        <w:pStyle w:val="FootnoteText"/>
        <w:rPr>
          <w:rFonts w:ascii="Times New Roman" w:hAnsi="Times New Roman" w:cs="Times New Roman"/>
          <w:sz w:val="24"/>
          <w:szCs w:val="24"/>
        </w:rPr>
      </w:pPr>
    </w:p>
    <w:p w14:paraId="697C0D05" w14:textId="77777777" w:rsidR="007E4331" w:rsidRDefault="007E4331" w:rsidP="00772077">
      <w:pPr>
        <w:pStyle w:val="FootnoteText"/>
        <w:ind w:left="360" w:hanging="360"/>
        <w:rPr>
          <w:rFonts w:ascii="Times New Roman" w:hAnsi="Times New Roman" w:cs="Times New Roman"/>
          <w:sz w:val="24"/>
          <w:szCs w:val="24"/>
        </w:rPr>
      </w:pPr>
      <w:r w:rsidRPr="00066C2A">
        <w:rPr>
          <w:rFonts w:ascii="Times New Roman" w:hAnsi="Times New Roman" w:cs="Times New Roman"/>
          <w:sz w:val="24"/>
          <w:szCs w:val="24"/>
        </w:rPr>
        <w:t xml:space="preserve">Leuz, Christian and Robert Verrecchia, 2000, “The Economic Consequences of Increased </w:t>
      </w:r>
    </w:p>
    <w:p w14:paraId="665D20BE" w14:textId="13329603" w:rsidR="0007678A" w:rsidRPr="008D7A49" w:rsidRDefault="007E4331" w:rsidP="00772077">
      <w:pPr>
        <w:pStyle w:val="FootnoteText"/>
        <w:ind w:left="360" w:hanging="360"/>
        <w:rPr>
          <w:rFonts w:ascii="Times New Roman" w:hAnsi="Times New Roman" w:cs="Times New Roman"/>
          <w:sz w:val="24"/>
          <w:szCs w:val="24"/>
        </w:rPr>
      </w:pPr>
      <w:r>
        <w:rPr>
          <w:rFonts w:ascii="Times New Roman" w:hAnsi="Times New Roman" w:cs="Times New Roman"/>
          <w:sz w:val="24"/>
          <w:szCs w:val="24"/>
        </w:rPr>
        <w:tab/>
      </w:r>
      <w:r w:rsidRPr="00066C2A">
        <w:rPr>
          <w:rFonts w:ascii="Times New Roman" w:hAnsi="Times New Roman" w:cs="Times New Roman"/>
          <w:sz w:val="24"/>
          <w:szCs w:val="24"/>
        </w:rPr>
        <w:t xml:space="preserve">Disclosure”, </w:t>
      </w:r>
      <w:r w:rsidRPr="00066C2A">
        <w:rPr>
          <w:rFonts w:ascii="Times New Roman" w:hAnsi="Times New Roman" w:cs="Times New Roman"/>
          <w:i/>
          <w:iCs/>
          <w:sz w:val="24"/>
          <w:szCs w:val="24"/>
        </w:rPr>
        <w:t>Journal of Accounting Research</w:t>
      </w:r>
      <w:r w:rsidRPr="00066C2A">
        <w:rPr>
          <w:rFonts w:ascii="Times New Roman" w:hAnsi="Times New Roman" w:cs="Times New Roman"/>
          <w:sz w:val="24"/>
          <w:szCs w:val="24"/>
        </w:rPr>
        <w:t xml:space="preserve"> 38, 91-124. </w:t>
      </w:r>
    </w:p>
    <w:p w14:paraId="0EAAFF51" w14:textId="77777777" w:rsidR="00A54953" w:rsidRDefault="00A54953" w:rsidP="00F0500F">
      <w:pPr>
        <w:pStyle w:val="FootnoteText"/>
        <w:rPr>
          <w:rFonts w:ascii="Times New Roman" w:hAnsi="Times New Roman" w:cs="Times New Roman"/>
          <w:sz w:val="24"/>
          <w:szCs w:val="24"/>
        </w:rPr>
      </w:pPr>
    </w:p>
    <w:p w14:paraId="4CF64A2F" w14:textId="40DC0F7C" w:rsidR="00710638" w:rsidRDefault="00710638" w:rsidP="00772077">
      <w:pPr>
        <w:pStyle w:val="FootnoteText"/>
        <w:ind w:left="360" w:hanging="360"/>
        <w:rPr>
          <w:rFonts w:ascii="Times New Roman" w:hAnsi="Times New Roman" w:cs="Times New Roman"/>
          <w:sz w:val="24"/>
          <w:szCs w:val="24"/>
        </w:rPr>
      </w:pPr>
      <w:r w:rsidRPr="00EC491E">
        <w:rPr>
          <w:rFonts w:ascii="Times New Roman" w:hAnsi="Times New Roman" w:cs="Times New Roman"/>
          <w:sz w:val="24"/>
          <w:szCs w:val="24"/>
        </w:rPr>
        <w:t>Lev</w:t>
      </w:r>
      <w:r>
        <w:rPr>
          <w:rFonts w:ascii="Times New Roman" w:hAnsi="Times New Roman" w:cs="Times New Roman"/>
          <w:sz w:val="24"/>
          <w:szCs w:val="24"/>
        </w:rPr>
        <w:t>, Baruch</w:t>
      </w:r>
      <w:r w:rsidRPr="00EC491E">
        <w:rPr>
          <w:rFonts w:ascii="Times New Roman" w:hAnsi="Times New Roman" w:cs="Times New Roman"/>
          <w:sz w:val="24"/>
          <w:szCs w:val="24"/>
        </w:rPr>
        <w:t xml:space="preserve"> and </w:t>
      </w:r>
      <w:r>
        <w:rPr>
          <w:rFonts w:ascii="Times New Roman" w:hAnsi="Times New Roman" w:cs="Times New Roman"/>
          <w:sz w:val="24"/>
          <w:szCs w:val="24"/>
        </w:rPr>
        <w:t>Theodore Sougiannis, 1</w:t>
      </w:r>
      <w:r w:rsidRPr="00EC491E">
        <w:rPr>
          <w:rFonts w:ascii="Times New Roman" w:hAnsi="Times New Roman" w:cs="Times New Roman"/>
          <w:sz w:val="24"/>
          <w:szCs w:val="24"/>
        </w:rPr>
        <w:t>996</w:t>
      </w:r>
      <w:r>
        <w:rPr>
          <w:rFonts w:ascii="Times New Roman" w:hAnsi="Times New Roman" w:cs="Times New Roman"/>
          <w:sz w:val="24"/>
          <w:szCs w:val="24"/>
        </w:rPr>
        <w:t>, “The Capitalization, Amortization, and Value-</w:t>
      </w:r>
    </w:p>
    <w:p w14:paraId="2F4B3446" w14:textId="21484AC0" w:rsidR="002A0FC5" w:rsidRDefault="00710638" w:rsidP="00772077">
      <w:pPr>
        <w:widowControl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ab/>
        <w:t xml:space="preserve">Relevance of R&amp;D”, </w:t>
      </w:r>
      <w:r w:rsidRPr="008D0EFD">
        <w:rPr>
          <w:rFonts w:ascii="Times New Roman" w:hAnsi="Times New Roman" w:cs="Times New Roman"/>
          <w:i/>
          <w:sz w:val="24"/>
          <w:szCs w:val="24"/>
        </w:rPr>
        <w:t>Journal of Accounting and Economics</w:t>
      </w:r>
      <w:r>
        <w:rPr>
          <w:rFonts w:ascii="Times New Roman" w:hAnsi="Times New Roman" w:cs="Times New Roman"/>
          <w:sz w:val="24"/>
          <w:szCs w:val="24"/>
        </w:rPr>
        <w:t xml:space="preserve"> 21, 107-138.</w:t>
      </w:r>
    </w:p>
    <w:p w14:paraId="1476CDA4" w14:textId="174DE9CE" w:rsidR="003E1CF5" w:rsidRDefault="003E1CF5" w:rsidP="00DC3EAA">
      <w:pPr>
        <w:widowControl w:val="0"/>
        <w:spacing w:after="0" w:line="240" w:lineRule="auto"/>
        <w:rPr>
          <w:rFonts w:ascii="Times New Roman" w:hAnsi="Times New Roman" w:cs="Times New Roman"/>
          <w:sz w:val="24"/>
          <w:szCs w:val="24"/>
        </w:rPr>
      </w:pPr>
    </w:p>
    <w:p w14:paraId="07145F73" w14:textId="77777777" w:rsidR="00A077D5" w:rsidRDefault="002B3ABF" w:rsidP="00772077">
      <w:pPr>
        <w:widowControl w:val="0"/>
        <w:spacing w:after="0" w:line="240" w:lineRule="auto"/>
        <w:ind w:left="360" w:hanging="360"/>
        <w:rPr>
          <w:rFonts w:ascii="Times New Roman" w:hAnsi="Times New Roman" w:cs="Times New Roman"/>
          <w:i/>
          <w:iCs/>
          <w:sz w:val="24"/>
          <w:szCs w:val="24"/>
        </w:rPr>
      </w:pPr>
      <w:r>
        <w:rPr>
          <w:rFonts w:ascii="Times New Roman" w:hAnsi="Times New Roman" w:cs="Times New Roman"/>
          <w:sz w:val="24"/>
          <w:szCs w:val="24"/>
        </w:rPr>
        <w:t xml:space="preserve">Miller, Merton and </w:t>
      </w:r>
      <w:r w:rsidR="00902070">
        <w:rPr>
          <w:rFonts w:ascii="Times New Roman" w:hAnsi="Times New Roman" w:cs="Times New Roman"/>
          <w:sz w:val="24"/>
          <w:szCs w:val="24"/>
        </w:rPr>
        <w:t xml:space="preserve">Kevin Rock, 1985, “Dividend Policy under Asymmetric Information”, </w:t>
      </w:r>
      <w:r w:rsidR="00902070" w:rsidRPr="00A077D5">
        <w:rPr>
          <w:rFonts w:ascii="Times New Roman" w:hAnsi="Times New Roman" w:cs="Times New Roman"/>
          <w:i/>
          <w:iCs/>
          <w:sz w:val="24"/>
          <w:szCs w:val="24"/>
        </w:rPr>
        <w:t>The</w:t>
      </w:r>
    </w:p>
    <w:p w14:paraId="230F3631" w14:textId="075A0B6C" w:rsidR="002B3ABF" w:rsidRDefault="00902070" w:rsidP="00772077">
      <w:pPr>
        <w:widowControl w:val="0"/>
        <w:spacing w:after="0" w:line="240" w:lineRule="auto"/>
        <w:ind w:left="360"/>
        <w:rPr>
          <w:rFonts w:ascii="Times New Roman" w:hAnsi="Times New Roman" w:cs="Times New Roman"/>
          <w:sz w:val="24"/>
          <w:szCs w:val="24"/>
        </w:rPr>
      </w:pPr>
      <w:r w:rsidRPr="00A077D5">
        <w:rPr>
          <w:rFonts w:ascii="Times New Roman" w:hAnsi="Times New Roman" w:cs="Times New Roman"/>
          <w:i/>
          <w:iCs/>
          <w:sz w:val="24"/>
          <w:szCs w:val="24"/>
        </w:rPr>
        <w:t>Journal of Finance</w:t>
      </w:r>
      <w:r w:rsidR="003F0B6F">
        <w:rPr>
          <w:rFonts w:ascii="Times New Roman" w:hAnsi="Times New Roman" w:cs="Times New Roman"/>
          <w:sz w:val="24"/>
          <w:szCs w:val="24"/>
        </w:rPr>
        <w:t xml:space="preserve"> XL, 1031-</w:t>
      </w:r>
      <w:r w:rsidR="00A077D5">
        <w:rPr>
          <w:rFonts w:ascii="Times New Roman" w:hAnsi="Times New Roman" w:cs="Times New Roman"/>
          <w:sz w:val="24"/>
          <w:szCs w:val="24"/>
        </w:rPr>
        <w:t>1051</w:t>
      </w:r>
      <w:r w:rsidR="001B2B4F">
        <w:rPr>
          <w:rFonts w:ascii="Times New Roman" w:hAnsi="Times New Roman" w:cs="Times New Roman"/>
          <w:sz w:val="24"/>
          <w:szCs w:val="24"/>
        </w:rPr>
        <w:t>.</w:t>
      </w:r>
    </w:p>
    <w:p w14:paraId="647D0640" w14:textId="1DE1D936" w:rsidR="00902070" w:rsidRDefault="00902070" w:rsidP="00772077">
      <w:pPr>
        <w:widowControl w:val="0"/>
        <w:spacing w:after="0" w:line="240" w:lineRule="auto"/>
        <w:ind w:left="360" w:hanging="360"/>
        <w:rPr>
          <w:rFonts w:ascii="Times New Roman" w:hAnsi="Times New Roman" w:cs="Times New Roman"/>
          <w:sz w:val="24"/>
          <w:szCs w:val="24"/>
        </w:rPr>
      </w:pPr>
    </w:p>
    <w:p w14:paraId="29817DD3" w14:textId="77777777" w:rsidR="002C15D2" w:rsidRDefault="001E1C94" w:rsidP="00772077">
      <w:pPr>
        <w:widowControl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Mittelstaedt, </w:t>
      </w:r>
      <w:r w:rsidR="00865878">
        <w:rPr>
          <w:rFonts w:ascii="Times New Roman" w:hAnsi="Times New Roman" w:cs="Times New Roman"/>
          <w:sz w:val="24"/>
          <w:szCs w:val="24"/>
        </w:rPr>
        <w:t xml:space="preserve">H. </w:t>
      </w:r>
      <w:r>
        <w:rPr>
          <w:rFonts w:ascii="Times New Roman" w:hAnsi="Times New Roman" w:cs="Times New Roman"/>
          <w:sz w:val="24"/>
          <w:szCs w:val="24"/>
        </w:rPr>
        <w:t>Fred,</w:t>
      </w:r>
      <w:r w:rsidR="00865878">
        <w:rPr>
          <w:rFonts w:ascii="Times New Roman" w:hAnsi="Times New Roman" w:cs="Times New Roman"/>
          <w:sz w:val="24"/>
          <w:szCs w:val="24"/>
        </w:rPr>
        <w:t xml:space="preserve"> William D. Nichols, and Philip R. </w:t>
      </w:r>
      <w:r w:rsidR="005F01A0">
        <w:rPr>
          <w:rFonts w:ascii="Times New Roman" w:hAnsi="Times New Roman" w:cs="Times New Roman"/>
          <w:sz w:val="24"/>
          <w:szCs w:val="24"/>
        </w:rPr>
        <w:t>Regier, 1995, “SFAS No. 106 and</w:t>
      </w:r>
    </w:p>
    <w:p w14:paraId="1FFE2F1E" w14:textId="77777777" w:rsidR="002C15D2" w:rsidRPr="002C15D2" w:rsidRDefault="005F01A0" w:rsidP="00772077">
      <w:pPr>
        <w:widowControl w:val="0"/>
        <w:spacing w:after="0" w:line="240" w:lineRule="auto"/>
        <w:ind w:left="360"/>
        <w:rPr>
          <w:rFonts w:ascii="Times New Roman" w:hAnsi="Times New Roman" w:cs="Times New Roman"/>
          <w:i/>
          <w:iCs/>
          <w:sz w:val="24"/>
          <w:szCs w:val="24"/>
        </w:rPr>
      </w:pPr>
      <w:r>
        <w:rPr>
          <w:rFonts w:ascii="Times New Roman" w:hAnsi="Times New Roman" w:cs="Times New Roman"/>
          <w:sz w:val="24"/>
          <w:szCs w:val="24"/>
        </w:rPr>
        <w:t xml:space="preserve">Benefit Reductions in Employer-Sponsored </w:t>
      </w:r>
      <w:r w:rsidR="003276C1">
        <w:rPr>
          <w:rFonts w:ascii="Times New Roman" w:hAnsi="Times New Roman" w:cs="Times New Roman"/>
          <w:sz w:val="24"/>
          <w:szCs w:val="24"/>
        </w:rPr>
        <w:t xml:space="preserve">Retiree Health Care Plans”, </w:t>
      </w:r>
      <w:r w:rsidR="003276C1" w:rsidRPr="002C15D2">
        <w:rPr>
          <w:rFonts w:ascii="Times New Roman" w:hAnsi="Times New Roman" w:cs="Times New Roman"/>
          <w:i/>
          <w:iCs/>
          <w:sz w:val="24"/>
          <w:szCs w:val="24"/>
        </w:rPr>
        <w:t>The Accounting</w:t>
      </w:r>
    </w:p>
    <w:p w14:paraId="7C569C58" w14:textId="07950DCF" w:rsidR="001E1C94" w:rsidRDefault="003276C1" w:rsidP="00772077">
      <w:pPr>
        <w:widowControl w:val="0"/>
        <w:spacing w:after="0" w:line="240" w:lineRule="auto"/>
        <w:ind w:left="360"/>
        <w:rPr>
          <w:rFonts w:ascii="Times New Roman" w:hAnsi="Times New Roman" w:cs="Times New Roman"/>
          <w:sz w:val="24"/>
          <w:szCs w:val="24"/>
        </w:rPr>
      </w:pPr>
      <w:r w:rsidRPr="002C15D2">
        <w:rPr>
          <w:rFonts w:ascii="Times New Roman" w:hAnsi="Times New Roman" w:cs="Times New Roman"/>
          <w:i/>
          <w:iCs/>
          <w:sz w:val="24"/>
          <w:szCs w:val="24"/>
        </w:rPr>
        <w:t>Review</w:t>
      </w:r>
      <w:r>
        <w:rPr>
          <w:rFonts w:ascii="Times New Roman" w:hAnsi="Times New Roman" w:cs="Times New Roman"/>
          <w:sz w:val="24"/>
          <w:szCs w:val="24"/>
        </w:rPr>
        <w:t xml:space="preserve"> 70, </w:t>
      </w:r>
      <w:r w:rsidR="002C15D2">
        <w:rPr>
          <w:rFonts w:ascii="Times New Roman" w:hAnsi="Times New Roman" w:cs="Times New Roman"/>
          <w:sz w:val="24"/>
          <w:szCs w:val="24"/>
        </w:rPr>
        <w:t>535-556.</w:t>
      </w:r>
    </w:p>
    <w:p w14:paraId="698C8221" w14:textId="77777777" w:rsidR="001E1C94" w:rsidRDefault="001E1C94" w:rsidP="00772077">
      <w:pPr>
        <w:widowControl w:val="0"/>
        <w:spacing w:after="0" w:line="240" w:lineRule="auto"/>
        <w:ind w:left="360" w:hanging="360"/>
        <w:rPr>
          <w:rFonts w:ascii="Times New Roman" w:hAnsi="Times New Roman" w:cs="Times New Roman"/>
          <w:sz w:val="24"/>
          <w:szCs w:val="24"/>
        </w:rPr>
      </w:pPr>
    </w:p>
    <w:p w14:paraId="751E4FE9" w14:textId="36C974A4" w:rsidR="00B07580" w:rsidRDefault="00B07580" w:rsidP="00772077">
      <w:pPr>
        <w:widowControl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Oswald, Dennis, 2008, “The Determinants and Value Relevance of the Choice of Accounting </w:t>
      </w:r>
    </w:p>
    <w:p w14:paraId="5F7E936C" w14:textId="27B532E7" w:rsidR="00B07580" w:rsidRDefault="00B07580" w:rsidP="00772077">
      <w:pPr>
        <w:widowControl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ab/>
        <w:t xml:space="preserve">for Research and Development Expenditures in the United Kingdom”, </w:t>
      </w:r>
      <w:r>
        <w:rPr>
          <w:rFonts w:ascii="Times New Roman" w:hAnsi="Times New Roman" w:cs="Times New Roman"/>
          <w:i/>
          <w:sz w:val="24"/>
          <w:szCs w:val="24"/>
        </w:rPr>
        <w:t>Journal of Business Finance and Accounting</w:t>
      </w:r>
      <w:r>
        <w:rPr>
          <w:rFonts w:ascii="Times New Roman" w:hAnsi="Times New Roman" w:cs="Times New Roman"/>
          <w:sz w:val="24"/>
          <w:szCs w:val="24"/>
        </w:rPr>
        <w:t xml:space="preserve"> 35, 1-24.</w:t>
      </w:r>
    </w:p>
    <w:p w14:paraId="3548F7CC" w14:textId="77777777" w:rsidR="00BE2F41" w:rsidRDefault="00BE2F41" w:rsidP="00E5765D">
      <w:pPr>
        <w:widowControl w:val="0"/>
        <w:spacing w:after="0" w:line="240" w:lineRule="auto"/>
        <w:rPr>
          <w:rFonts w:ascii="Times New Roman" w:hAnsi="Times New Roman" w:cs="Times New Roman"/>
          <w:sz w:val="24"/>
          <w:szCs w:val="24"/>
        </w:rPr>
      </w:pPr>
    </w:p>
    <w:p w14:paraId="38FAFD1C" w14:textId="1469E7BC" w:rsidR="00BE2F41" w:rsidRDefault="00BE2F41" w:rsidP="00772077">
      <w:pPr>
        <w:widowControl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Roychowdhury, Sugata, Nemit Shroff, and Rodrigo Verdi, 2019, “The Effects of Financial </w:t>
      </w:r>
    </w:p>
    <w:p w14:paraId="632675DD" w14:textId="77777777" w:rsidR="00BE2F41" w:rsidRDefault="00BE2F41" w:rsidP="00772077">
      <w:pPr>
        <w:widowControl w:val="0"/>
        <w:spacing w:after="0" w:line="240" w:lineRule="auto"/>
        <w:ind w:left="360" w:hanging="360"/>
        <w:rPr>
          <w:rFonts w:ascii="Times New Roman" w:hAnsi="Times New Roman" w:cs="Times New Roman"/>
          <w:i/>
          <w:sz w:val="24"/>
          <w:szCs w:val="24"/>
        </w:rPr>
      </w:pPr>
      <w:r>
        <w:rPr>
          <w:rFonts w:ascii="Times New Roman" w:hAnsi="Times New Roman" w:cs="Times New Roman"/>
          <w:sz w:val="24"/>
          <w:szCs w:val="24"/>
        </w:rPr>
        <w:tab/>
        <w:t xml:space="preserve">Reporting and Disclosure on Corporate Investment: A Review”, </w:t>
      </w:r>
      <w:r w:rsidRPr="008D0EFD">
        <w:rPr>
          <w:rFonts w:ascii="Times New Roman" w:hAnsi="Times New Roman" w:cs="Times New Roman"/>
          <w:i/>
          <w:sz w:val="24"/>
          <w:szCs w:val="24"/>
        </w:rPr>
        <w:t xml:space="preserve">Journal of Accounting </w:t>
      </w:r>
    </w:p>
    <w:p w14:paraId="4B5721A1" w14:textId="2230F311" w:rsidR="00BE2F41" w:rsidRPr="00BE2F41" w:rsidRDefault="00BE2F41" w:rsidP="00772077">
      <w:pPr>
        <w:widowControl w:val="0"/>
        <w:spacing w:after="0" w:line="240" w:lineRule="auto"/>
        <w:ind w:left="360"/>
        <w:rPr>
          <w:rFonts w:ascii="Times New Roman" w:hAnsi="Times New Roman" w:cs="Times New Roman"/>
          <w:sz w:val="24"/>
          <w:szCs w:val="24"/>
        </w:rPr>
      </w:pPr>
      <w:r w:rsidRPr="008D0EFD">
        <w:rPr>
          <w:rFonts w:ascii="Times New Roman" w:hAnsi="Times New Roman" w:cs="Times New Roman"/>
          <w:i/>
          <w:sz w:val="24"/>
          <w:szCs w:val="24"/>
        </w:rPr>
        <w:t>and Economics</w:t>
      </w:r>
      <w:r>
        <w:rPr>
          <w:rFonts w:ascii="Times New Roman" w:hAnsi="Times New Roman" w:cs="Times New Roman"/>
          <w:sz w:val="24"/>
          <w:szCs w:val="24"/>
        </w:rPr>
        <w:t xml:space="preserve"> </w:t>
      </w:r>
      <w:r w:rsidR="003D4D2C">
        <w:rPr>
          <w:rFonts w:ascii="Times New Roman" w:hAnsi="Times New Roman" w:cs="Times New Roman"/>
          <w:sz w:val="24"/>
          <w:szCs w:val="24"/>
        </w:rPr>
        <w:t>68</w:t>
      </w:r>
      <w:r w:rsidR="00B06E29">
        <w:rPr>
          <w:rFonts w:ascii="Times New Roman" w:hAnsi="Times New Roman" w:cs="Times New Roman"/>
          <w:sz w:val="24"/>
          <w:szCs w:val="24"/>
        </w:rPr>
        <w:t xml:space="preserve"> 1-27.</w:t>
      </w:r>
    </w:p>
    <w:p w14:paraId="1BED9E97" w14:textId="77777777" w:rsidR="00886F37" w:rsidRDefault="00886F37">
      <w:pPr>
        <w:widowControl w:val="0"/>
        <w:spacing w:after="0" w:line="240" w:lineRule="auto"/>
        <w:rPr>
          <w:rFonts w:ascii="Times New Roman" w:hAnsi="Times New Roman" w:cs="Times New Roman"/>
          <w:sz w:val="24"/>
          <w:szCs w:val="24"/>
        </w:rPr>
      </w:pPr>
    </w:p>
    <w:p w14:paraId="0DFD546C" w14:textId="6A8226FF" w:rsidR="00EA5E59" w:rsidRPr="00EA5E59" w:rsidRDefault="00886F37" w:rsidP="00772077">
      <w:pPr>
        <w:spacing w:after="0" w:line="240" w:lineRule="auto"/>
        <w:ind w:left="360" w:hanging="360"/>
        <w:rPr>
          <w:rFonts w:ascii="Times New Roman" w:eastAsia="Times New Roman" w:hAnsi="Times New Roman" w:cs="Times New Roman"/>
          <w:i/>
          <w:sz w:val="24"/>
          <w:szCs w:val="24"/>
        </w:rPr>
      </w:pPr>
      <w:r w:rsidRPr="00A44662">
        <w:rPr>
          <w:rFonts w:ascii="Times New Roman" w:hAnsi="Times New Roman" w:cs="Times New Roman"/>
          <w:sz w:val="24"/>
          <w:szCs w:val="24"/>
        </w:rPr>
        <w:t>Shroff, Nemit, 201</w:t>
      </w:r>
      <w:r w:rsidR="00EA5E59">
        <w:rPr>
          <w:rFonts w:ascii="Times New Roman" w:hAnsi="Times New Roman" w:cs="Times New Roman"/>
          <w:sz w:val="24"/>
          <w:szCs w:val="24"/>
        </w:rPr>
        <w:t>7</w:t>
      </w:r>
      <w:r w:rsidRPr="00A44662">
        <w:rPr>
          <w:rFonts w:ascii="Times New Roman" w:hAnsi="Times New Roman" w:cs="Times New Roman"/>
          <w:sz w:val="24"/>
          <w:szCs w:val="24"/>
        </w:rPr>
        <w:t xml:space="preserve">, </w:t>
      </w:r>
      <w:r w:rsidRPr="005158D0">
        <w:rPr>
          <w:rFonts w:ascii="Times New Roman" w:eastAsia="Times New Roman" w:hAnsi="Times New Roman" w:cs="Times New Roman"/>
          <w:sz w:val="24"/>
          <w:szCs w:val="24"/>
        </w:rPr>
        <w:t>“Corporate Investment and Changes in GAAP”</w:t>
      </w:r>
      <w:r w:rsidR="00A44662" w:rsidRPr="005158D0">
        <w:rPr>
          <w:rFonts w:ascii="Times New Roman" w:eastAsia="Times New Roman" w:hAnsi="Times New Roman" w:cs="Times New Roman"/>
          <w:sz w:val="24"/>
          <w:szCs w:val="24"/>
        </w:rPr>
        <w:t xml:space="preserve">, </w:t>
      </w:r>
      <w:r w:rsidR="00EA5E59" w:rsidRPr="00EA5E59">
        <w:rPr>
          <w:rFonts w:ascii="Times New Roman" w:eastAsia="Times New Roman" w:hAnsi="Times New Roman" w:cs="Times New Roman"/>
          <w:i/>
          <w:sz w:val="24"/>
          <w:szCs w:val="24"/>
        </w:rPr>
        <w:t xml:space="preserve">Review of Accounting </w:t>
      </w:r>
    </w:p>
    <w:p w14:paraId="3B797AE3" w14:textId="5B7322F2" w:rsidR="00A333C0" w:rsidRDefault="00EA5E59" w:rsidP="00772077">
      <w:pPr>
        <w:spacing w:after="0" w:line="240" w:lineRule="auto"/>
        <w:ind w:left="360" w:hanging="360"/>
        <w:rPr>
          <w:rFonts w:ascii="Times New Roman" w:eastAsia="Times New Roman" w:hAnsi="Times New Roman" w:cs="Times New Roman"/>
          <w:sz w:val="24"/>
          <w:szCs w:val="24"/>
        </w:rPr>
      </w:pPr>
      <w:r w:rsidRPr="00EA5E59">
        <w:rPr>
          <w:rFonts w:ascii="Times New Roman" w:eastAsia="Times New Roman" w:hAnsi="Times New Roman" w:cs="Times New Roman"/>
          <w:i/>
          <w:sz w:val="24"/>
          <w:szCs w:val="24"/>
        </w:rPr>
        <w:tab/>
        <w:t xml:space="preserve">Studies </w:t>
      </w:r>
      <w:r>
        <w:rPr>
          <w:rFonts w:ascii="Times New Roman" w:eastAsia="Times New Roman" w:hAnsi="Times New Roman" w:cs="Times New Roman"/>
          <w:sz w:val="24"/>
          <w:szCs w:val="24"/>
        </w:rPr>
        <w:t>22, 1-63.</w:t>
      </w:r>
    </w:p>
    <w:p w14:paraId="1943D5F8" w14:textId="77777777" w:rsidR="00DC3EAA" w:rsidRDefault="00DC3EAA" w:rsidP="00DC3EAA">
      <w:pPr>
        <w:spacing w:after="0" w:line="240" w:lineRule="auto"/>
        <w:rPr>
          <w:rFonts w:ascii="Times New Roman" w:eastAsia="Times New Roman" w:hAnsi="Times New Roman" w:cs="Times New Roman"/>
          <w:sz w:val="24"/>
          <w:szCs w:val="24"/>
        </w:rPr>
      </w:pPr>
    </w:p>
    <w:p w14:paraId="5A744CCE" w14:textId="0E3B2F84" w:rsidR="00DC3EAA" w:rsidRDefault="00DC3EAA" w:rsidP="00772077">
      <w:pPr>
        <w:spacing w:after="0" w:line="240" w:lineRule="auto"/>
        <w:ind w:left="360" w:hanging="360"/>
        <w:rPr>
          <w:rFonts w:ascii="Times New Roman" w:eastAsia="Times New Roman" w:hAnsi="Times New Roman" w:cs="Times New Roman"/>
          <w:sz w:val="24"/>
          <w:szCs w:val="24"/>
        </w:rPr>
      </w:pPr>
      <w:r w:rsidRPr="00A44662">
        <w:rPr>
          <w:rFonts w:ascii="Times New Roman" w:hAnsi="Times New Roman" w:cs="Times New Roman"/>
          <w:sz w:val="24"/>
          <w:szCs w:val="24"/>
        </w:rPr>
        <w:t>Shroff, Nemit, 20</w:t>
      </w:r>
      <w:r w:rsidR="00B0788D">
        <w:rPr>
          <w:rFonts w:ascii="Times New Roman" w:hAnsi="Times New Roman" w:cs="Times New Roman"/>
          <w:sz w:val="24"/>
          <w:szCs w:val="24"/>
        </w:rPr>
        <w:t>20</w:t>
      </w:r>
      <w:r w:rsidRPr="00A44662">
        <w:rPr>
          <w:rFonts w:ascii="Times New Roman" w:hAnsi="Times New Roman" w:cs="Times New Roman"/>
          <w:sz w:val="24"/>
          <w:szCs w:val="24"/>
        </w:rPr>
        <w:t xml:space="preserve">, </w:t>
      </w:r>
      <w:r w:rsidRPr="005158D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Real Effects of PCAOB International Inspections”, </w:t>
      </w:r>
      <w:r w:rsidRPr="00DC3EAA">
        <w:rPr>
          <w:rFonts w:ascii="Times New Roman" w:eastAsia="Times New Roman" w:hAnsi="Times New Roman" w:cs="Times New Roman"/>
          <w:i/>
          <w:sz w:val="24"/>
          <w:szCs w:val="24"/>
        </w:rPr>
        <w:t>The Accounting Review</w:t>
      </w:r>
      <w:r>
        <w:rPr>
          <w:rFonts w:ascii="Times New Roman" w:eastAsia="Times New Roman" w:hAnsi="Times New Roman" w:cs="Times New Roman"/>
          <w:sz w:val="24"/>
          <w:szCs w:val="24"/>
        </w:rPr>
        <w:t>, forthcoming</w:t>
      </w:r>
      <w:r w:rsidR="0087616A">
        <w:rPr>
          <w:rFonts w:ascii="Times New Roman" w:eastAsia="Times New Roman" w:hAnsi="Times New Roman" w:cs="Times New Roman"/>
          <w:sz w:val="24"/>
          <w:szCs w:val="24"/>
        </w:rPr>
        <w:t>.</w:t>
      </w:r>
    </w:p>
    <w:p w14:paraId="47088FF8" w14:textId="77777777" w:rsidR="008D77FD" w:rsidRDefault="008D77FD" w:rsidP="00772077">
      <w:pPr>
        <w:widowControl w:val="0"/>
        <w:spacing w:after="0" w:line="240" w:lineRule="auto"/>
        <w:ind w:left="360" w:hanging="360"/>
        <w:rPr>
          <w:rFonts w:ascii="Times New Roman" w:hAnsi="Times New Roman" w:cs="Times New Roman"/>
          <w:sz w:val="24"/>
          <w:szCs w:val="24"/>
        </w:rPr>
      </w:pPr>
    </w:p>
    <w:p w14:paraId="5DF5ECAE" w14:textId="3576D93B" w:rsidR="008D0EFD" w:rsidRDefault="008D0EFD" w:rsidP="00772077">
      <w:pPr>
        <w:widowControl w:val="0"/>
        <w:spacing w:after="0" w:line="240" w:lineRule="auto"/>
        <w:ind w:left="360" w:hanging="360"/>
        <w:rPr>
          <w:rFonts w:ascii="Times New Roman" w:hAnsi="Times New Roman" w:cs="Times New Roman"/>
          <w:sz w:val="24"/>
          <w:szCs w:val="24"/>
        </w:rPr>
      </w:pPr>
      <w:r w:rsidRPr="008D0EFD">
        <w:rPr>
          <w:rFonts w:ascii="Times New Roman" w:hAnsi="Times New Roman" w:cs="Times New Roman"/>
          <w:sz w:val="24"/>
          <w:szCs w:val="24"/>
        </w:rPr>
        <w:t>Stein, Jeremy, 1989, “Efficient Capital Markets, Inefficient Firms: A Model of Myopic</w:t>
      </w:r>
      <w:r w:rsidR="00772077">
        <w:rPr>
          <w:rFonts w:ascii="Times New Roman" w:hAnsi="Times New Roman" w:cs="Times New Roman"/>
          <w:sz w:val="24"/>
          <w:szCs w:val="24"/>
        </w:rPr>
        <w:t xml:space="preserve"> </w:t>
      </w:r>
      <w:r w:rsidRPr="008D0EFD">
        <w:rPr>
          <w:rFonts w:ascii="Times New Roman" w:hAnsi="Times New Roman" w:cs="Times New Roman"/>
          <w:sz w:val="24"/>
          <w:szCs w:val="24"/>
        </w:rPr>
        <w:t xml:space="preserve">Corporate Behavior”, </w:t>
      </w:r>
      <w:r w:rsidRPr="008D0EFD">
        <w:rPr>
          <w:rFonts w:ascii="Times New Roman" w:hAnsi="Times New Roman" w:cs="Times New Roman"/>
          <w:i/>
          <w:sz w:val="24"/>
          <w:szCs w:val="24"/>
        </w:rPr>
        <w:t>The Quarterly Journal of Economics</w:t>
      </w:r>
      <w:r w:rsidR="0087616A">
        <w:rPr>
          <w:rFonts w:ascii="Times New Roman" w:hAnsi="Times New Roman" w:cs="Times New Roman"/>
          <w:i/>
          <w:sz w:val="24"/>
          <w:szCs w:val="24"/>
        </w:rPr>
        <w:t xml:space="preserve"> 104</w:t>
      </w:r>
      <w:r w:rsidRPr="008D0EFD">
        <w:rPr>
          <w:rFonts w:ascii="Times New Roman" w:hAnsi="Times New Roman" w:cs="Times New Roman"/>
          <w:i/>
          <w:sz w:val="24"/>
          <w:szCs w:val="24"/>
        </w:rPr>
        <w:t>,</w:t>
      </w:r>
      <w:r w:rsidRPr="008D0EFD">
        <w:rPr>
          <w:rFonts w:ascii="Times New Roman" w:hAnsi="Times New Roman" w:cs="Times New Roman"/>
          <w:sz w:val="24"/>
          <w:szCs w:val="24"/>
        </w:rPr>
        <w:t xml:space="preserve"> 655-669</w:t>
      </w:r>
      <w:r w:rsidR="0087616A">
        <w:rPr>
          <w:rFonts w:ascii="Times New Roman" w:hAnsi="Times New Roman" w:cs="Times New Roman"/>
          <w:sz w:val="24"/>
          <w:szCs w:val="24"/>
        </w:rPr>
        <w:t>.</w:t>
      </w:r>
    </w:p>
    <w:p w14:paraId="274FE917" w14:textId="77777777" w:rsidR="00CE59D6" w:rsidRDefault="00CE59D6" w:rsidP="00E5765D">
      <w:pPr>
        <w:widowControl w:val="0"/>
        <w:spacing w:after="0" w:line="240" w:lineRule="auto"/>
        <w:rPr>
          <w:rFonts w:ascii="Times New Roman" w:hAnsi="Times New Roman" w:cs="Times New Roman"/>
          <w:sz w:val="24"/>
          <w:szCs w:val="24"/>
        </w:rPr>
      </w:pPr>
    </w:p>
    <w:p w14:paraId="6C6416B2" w14:textId="78B69B74" w:rsidR="00CE59D6" w:rsidRDefault="00CE59D6" w:rsidP="00772077">
      <w:pPr>
        <w:widowControl w:val="0"/>
        <w:spacing w:after="0" w:line="240" w:lineRule="auto"/>
        <w:ind w:left="360" w:hanging="360"/>
        <w:rPr>
          <w:rFonts w:ascii="Times New Roman" w:hAnsi="Times New Roman" w:cs="Times New Roman"/>
          <w:i/>
          <w:sz w:val="24"/>
          <w:szCs w:val="24"/>
        </w:rPr>
      </w:pPr>
      <w:r>
        <w:rPr>
          <w:rFonts w:ascii="Times New Roman" w:hAnsi="Times New Roman" w:cs="Times New Roman"/>
          <w:sz w:val="24"/>
          <w:szCs w:val="24"/>
        </w:rPr>
        <w:t xml:space="preserve">Stein, Jeremy, 2003, “Agency, Information, and Corporate Investment”, </w:t>
      </w:r>
      <w:r w:rsidRPr="00CE59D6">
        <w:rPr>
          <w:rFonts w:ascii="Times New Roman" w:hAnsi="Times New Roman" w:cs="Times New Roman"/>
          <w:i/>
          <w:sz w:val="24"/>
          <w:szCs w:val="24"/>
        </w:rPr>
        <w:t>Handbook of the</w:t>
      </w:r>
    </w:p>
    <w:p w14:paraId="3FADEE33" w14:textId="1076B458" w:rsidR="00CE59D6" w:rsidRDefault="00CE59D6" w:rsidP="00772077">
      <w:pPr>
        <w:widowControl w:val="0"/>
        <w:spacing w:after="0" w:line="240" w:lineRule="auto"/>
        <w:ind w:left="360"/>
        <w:rPr>
          <w:rFonts w:ascii="Times New Roman" w:hAnsi="Times New Roman" w:cs="Times New Roman"/>
          <w:sz w:val="24"/>
          <w:szCs w:val="24"/>
        </w:rPr>
      </w:pPr>
      <w:r w:rsidRPr="00CE59D6">
        <w:rPr>
          <w:rFonts w:ascii="Times New Roman" w:hAnsi="Times New Roman" w:cs="Times New Roman"/>
          <w:i/>
          <w:sz w:val="24"/>
          <w:szCs w:val="24"/>
        </w:rPr>
        <w:t xml:space="preserve">Economics of Finance </w:t>
      </w:r>
      <w:r>
        <w:rPr>
          <w:rFonts w:ascii="Times New Roman" w:hAnsi="Times New Roman" w:cs="Times New Roman"/>
          <w:sz w:val="24"/>
          <w:szCs w:val="24"/>
        </w:rPr>
        <w:t>1, 111-165. Elsevier</w:t>
      </w:r>
    </w:p>
    <w:p w14:paraId="730FD951" w14:textId="77777777" w:rsidR="00414B16" w:rsidRDefault="00414B16" w:rsidP="00F0500F">
      <w:pPr>
        <w:widowControl w:val="0"/>
        <w:spacing w:after="0" w:line="240" w:lineRule="auto"/>
        <w:rPr>
          <w:rFonts w:ascii="Times New Roman" w:hAnsi="Times New Roman" w:cs="Times New Roman"/>
          <w:sz w:val="24"/>
          <w:szCs w:val="24"/>
        </w:rPr>
      </w:pPr>
    </w:p>
    <w:p w14:paraId="5297AE59" w14:textId="77777777" w:rsidR="008F2CB0" w:rsidRDefault="008F2CB0" w:rsidP="00772077">
      <w:pPr>
        <w:widowControl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Wasley, Charles and Thomas Linsmeier, 1992, “A Further Examination of the Economic </w:t>
      </w:r>
    </w:p>
    <w:p w14:paraId="28D97275" w14:textId="0CE2ED4F" w:rsidR="007B511C" w:rsidRDefault="008F2CB0" w:rsidP="00772077">
      <w:pPr>
        <w:widowControl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ab/>
        <w:t xml:space="preserve">Consequences of SFAS No. 2”, </w:t>
      </w:r>
      <w:r w:rsidRPr="008D0EFD">
        <w:rPr>
          <w:rFonts w:ascii="Times New Roman" w:hAnsi="Times New Roman" w:cs="Times New Roman"/>
          <w:i/>
          <w:sz w:val="24"/>
          <w:szCs w:val="24"/>
        </w:rPr>
        <w:t xml:space="preserve">Journal of Accounting </w:t>
      </w:r>
      <w:r>
        <w:rPr>
          <w:rFonts w:ascii="Times New Roman" w:hAnsi="Times New Roman" w:cs="Times New Roman"/>
          <w:i/>
          <w:sz w:val="24"/>
          <w:szCs w:val="24"/>
        </w:rPr>
        <w:t>R</w:t>
      </w:r>
      <w:r w:rsidRPr="008D0EFD">
        <w:rPr>
          <w:rFonts w:ascii="Times New Roman" w:hAnsi="Times New Roman" w:cs="Times New Roman"/>
          <w:i/>
          <w:sz w:val="24"/>
          <w:szCs w:val="24"/>
        </w:rPr>
        <w:t>esearch</w:t>
      </w:r>
      <w:r>
        <w:rPr>
          <w:rFonts w:ascii="Times New Roman" w:hAnsi="Times New Roman" w:cs="Times New Roman"/>
          <w:sz w:val="24"/>
          <w:szCs w:val="24"/>
        </w:rPr>
        <w:t xml:space="preserve"> 30, 156-</w:t>
      </w:r>
      <w:r w:rsidR="00B0788D">
        <w:rPr>
          <w:rFonts w:ascii="Times New Roman" w:hAnsi="Times New Roman" w:cs="Times New Roman"/>
          <w:sz w:val="24"/>
          <w:szCs w:val="24"/>
        </w:rPr>
        <w:t>164.</w:t>
      </w:r>
    </w:p>
    <w:p w14:paraId="392052EA" w14:textId="2599F80B" w:rsidR="001E2ADA" w:rsidRDefault="007B511C" w:rsidP="00B0788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76A87A96" w14:textId="77777777" w:rsidR="0072551F" w:rsidRDefault="00086F42" w:rsidP="00772077">
      <w:pPr>
        <w:widowControl w:val="0"/>
        <w:spacing w:after="0" w:line="240" w:lineRule="auto"/>
        <w:ind w:left="360" w:hanging="360"/>
        <w:rPr>
          <w:rFonts w:ascii="Times New Roman" w:hAnsi="Times New Roman" w:cs="Times New Roman"/>
          <w:i/>
          <w:sz w:val="24"/>
          <w:szCs w:val="24"/>
        </w:rPr>
      </w:pPr>
      <w:r>
        <w:rPr>
          <w:rFonts w:ascii="Times New Roman" w:hAnsi="Times New Roman" w:cs="Times New Roman"/>
          <w:sz w:val="24"/>
          <w:szCs w:val="24"/>
        </w:rPr>
        <w:t>Zhong, Rong, 2018</w:t>
      </w:r>
      <w:r w:rsidR="0072551F">
        <w:rPr>
          <w:rFonts w:ascii="Times New Roman" w:hAnsi="Times New Roman" w:cs="Times New Roman"/>
          <w:sz w:val="24"/>
          <w:szCs w:val="24"/>
        </w:rPr>
        <w:t xml:space="preserve">, “Transparency and Firm Innovation”, </w:t>
      </w:r>
      <w:r w:rsidR="0072551F" w:rsidRPr="008D0EFD">
        <w:rPr>
          <w:rFonts w:ascii="Times New Roman" w:hAnsi="Times New Roman" w:cs="Times New Roman"/>
          <w:i/>
          <w:sz w:val="24"/>
          <w:szCs w:val="24"/>
        </w:rPr>
        <w:t>Journal of Accounting and Economics</w:t>
      </w:r>
      <w:r w:rsidR="0072551F">
        <w:rPr>
          <w:rFonts w:ascii="Times New Roman" w:hAnsi="Times New Roman" w:cs="Times New Roman"/>
          <w:i/>
          <w:sz w:val="24"/>
          <w:szCs w:val="24"/>
        </w:rPr>
        <w:t xml:space="preserve"> </w:t>
      </w:r>
    </w:p>
    <w:p w14:paraId="7A5F0674" w14:textId="4AC05A2C" w:rsidR="00086F42" w:rsidRPr="0072551F" w:rsidRDefault="0072551F" w:rsidP="00772077">
      <w:pPr>
        <w:widowControl w:val="0"/>
        <w:spacing w:after="0" w:line="240" w:lineRule="auto"/>
        <w:ind w:left="360" w:hanging="360"/>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sz w:val="24"/>
          <w:szCs w:val="24"/>
        </w:rPr>
        <w:t>66, 67-93.</w:t>
      </w:r>
    </w:p>
    <w:p w14:paraId="01F37172" w14:textId="12458BE0" w:rsidR="006F1297" w:rsidRDefault="00FD7DEE" w:rsidP="00CB0943">
      <w:pPr>
        <w:contextualSpacing/>
        <w:jc w:val="center"/>
        <w:rPr>
          <w:rFonts w:ascii="Times New Roman" w:hAnsi="Times New Roman" w:cs="Times New Roman"/>
          <w:b/>
          <w:bCs/>
          <w:sz w:val="24"/>
          <w:szCs w:val="24"/>
        </w:rPr>
      </w:pPr>
      <w:bookmarkStart w:id="8" w:name="_Hlk25921754"/>
      <w:r>
        <w:rPr>
          <w:rFonts w:ascii="Times New Roman" w:hAnsi="Times New Roman" w:cs="Times New Roman"/>
          <w:b/>
          <w:bCs/>
          <w:sz w:val="24"/>
          <w:szCs w:val="24"/>
        </w:rPr>
        <w:br w:type="page"/>
      </w:r>
      <w:r w:rsidR="003808C1">
        <w:rPr>
          <w:rFonts w:ascii="Times New Roman" w:hAnsi="Times New Roman" w:cs="Times New Roman"/>
          <w:b/>
          <w:bCs/>
          <w:sz w:val="24"/>
          <w:szCs w:val="24"/>
        </w:rPr>
        <w:t>Table 1</w:t>
      </w:r>
    </w:p>
    <w:p w14:paraId="7E9BAF5C" w14:textId="77777777" w:rsidR="003808C1" w:rsidRDefault="003808C1" w:rsidP="00985B47">
      <w:pPr>
        <w:pBdr>
          <w:bottom w:val="single" w:sz="12" w:space="1" w:color="auto"/>
        </w:pBdr>
        <w:spacing w:line="240" w:lineRule="exact"/>
        <w:contextualSpacing/>
        <w:jc w:val="center"/>
        <w:outlineLvl w:val="0"/>
        <w:rPr>
          <w:rFonts w:ascii="Times New Roman" w:hAnsi="Times New Roman" w:cs="Times New Roman"/>
          <w:sz w:val="24"/>
          <w:szCs w:val="24"/>
          <w:vertAlign w:val="superscript"/>
        </w:rPr>
      </w:pPr>
      <w:r>
        <w:rPr>
          <w:rFonts w:ascii="Times New Roman" w:hAnsi="Times New Roman" w:cs="Times New Roman"/>
          <w:b/>
          <w:bCs/>
          <w:sz w:val="24"/>
          <w:szCs w:val="24"/>
        </w:rPr>
        <w:t>Sample Observations</w:t>
      </w:r>
      <w:r>
        <w:rPr>
          <w:rFonts w:ascii="Times New Roman" w:hAnsi="Times New Roman" w:cs="Times New Roman"/>
          <w:b/>
          <w:bCs/>
          <w:sz w:val="24"/>
          <w:szCs w:val="24"/>
          <w:vertAlign w:val="superscript"/>
        </w:rPr>
        <w:t>a</w:t>
      </w:r>
    </w:p>
    <w:p w14:paraId="35A34F83" w14:textId="595155AD" w:rsidR="003808C1" w:rsidRDefault="003808C1" w:rsidP="00985B47">
      <w:pPr>
        <w:contextualSpacing/>
        <w:rPr>
          <w:rFonts w:ascii="Times New Roman" w:hAnsi="Times New Roman" w:cs="Times New Roman"/>
          <w:sz w:val="24"/>
          <w:szCs w:val="24"/>
        </w:rPr>
      </w:pPr>
    </w:p>
    <w:tbl>
      <w:tblPr>
        <w:tblW w:w="8984" w:type="dxa"/>
        <w:jc w:val="center"/>
        <w:tblLook w:val="04A0" w:firstRow="1" w:lastRow="0" w:firstColumn="1" w:lastColumn="0" w:noHBand="0" w:noVBand="1"/>
      </w:tblPr>
      <w:tblGrid>
        <w:gridCol w:w="4620"/>
        <w:gridCol w:w="222"/>
        <w:gridCol w:w="1960"/>
        <w:gridCol w:w="222"/>
        <w:gridCol w:w="1960"/>
      </w:tblGrid>
      <w:tr w:rsidR="00A72BD1" w14:paraId="67BE1EE7" w14:textId="77777777" w:rsidTr="00A72BD1">
        <w:trPr>
          <w:trHeight w:val="402"/>
          <w:jc w:val="center"/>
        </w:trPr>
        <w:tc>
          <w:tcPr>
            <w:tcW w:w="4620" w:type="dxa"/>
            <w:noWrap/>
            <w:vAlign w:val="bottom"/>
            <w:hideMark/>
          </w:tcPr>
          <w:p w14:paraId="55C0E182" w14:textId="77777777" w:rsidR="00A72BD1" w:rsidRDefault="00A72BD1" w:rsidP="00A72BD1">
            <w:pPr>
              <w:rPr>
                <w:rFonts w:ascii="Times New Roman" w:hAnsi="Times New Roman" w:cs="Times New Roman"/>
                <w:sz w:val="24"/>
                <w:szCs w:val="24"/>
              </w:rPr>
            </w:pPr>
          </w:p>
        </w:tc>
        <w:tc>
          <w:tcPr>
            <w:tcW w:w="222" w:type="dxa"/>
            <w:noWrap/>
            <w:vAlign w:val="bottom"/>
            <w:hideMark/>
          </w:tcPr>
          <w:p w14:paraId="63981A75" w14:textId="77777777" w:rsidR="00A72BD1" w:rsidRDefault="00A72BD1" w:rsidP="00A72BD1">
            <w:pPr>
              <w:rPr>
                <w:sz w:val="20"/>
                <w:szCs w:val="20"/>
              </w:rPr>
            </w:pPr>
          </w:p>
        </w:tc>
        <w:tc>
          <w:tcPr>
            <w:tcW w:w="1960" w:type="dxa"/>
            <w:tcBorders>
              <w:top w:val="nil"/>
              <w:left w:val="nil"/>
              <w:bottom w:val="single" w:sz="4" w:space="0" w:color="auto"/>
              <w:right w:val="nil"/>
            </w:tcBorders>
            <w:noWrap/>
            <w:vAlign w:val="center"/>
            <w:hideMark/>
          </w:tcPr>
          <w:p w14:paraId="5D3BD95D" w14:textId="47E70AC1" w:rsidR="00A72BD1" w:rsidRDefault="00A72BD1" w:rsidP="00A72BD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#Observations</w:t>
            </w:r>
          </w:p>
        </w:tc>
        <w:tc>
          <w:tcPr>
            <w:tcW w:w="222" w:type="dxa"/>
            <w:noWrap/>
            <w:vAlign w:val="bottom"/>
            <w:hideMark/>
          </w:tcPr>
          <w:p w14:paraId="5C0E9CF9" w14:textId="77777777" w:rsidR="00A72BD1" w:rsidRDefault="00A72BD1" w:rsidP="00A72BD1">
            <w:pPr>
              <w:rPr>
                <w:rFonts w:ascii="Times New Roman" w:eastAsia="Times New Roman" w:hAnsi="Times New Roman" w:cs="Times New Roman"/>
                <w:color w:val="000000"/>
                <w:sz w:val="24"/>
                <w:szCs w:val="24"/>
              </w:rPr>
            </w:pPr>
          </w:p>
        </w:tc>
        <w:tc>
          <w:tcPr>
            <w:tcW w:w="1960" w:type="dxa"/>
            <w:tcBorders>
              <w:top w:val="nil"/>
              <w:left w:val="nil"/>
              <w:bottom w:val="single" w:sz="4" w:space="0" w:color="auto"/>
              <w:right w:val="nil"/>
            </w:tcBorders>
            <w:noWrap/>
            <w:vAlign w:val="center"/>
            <w:hideMark/>
          </w:tcPr>
          <w:p w14:paraId="37A8F4A5" w14:textId="77777777" w:rsidR="00A72BD1" w:rsidRDefault="00A72BD1" w:rsidP="00A72BD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#Firms</w:t>
            </w:r>
          </w:p>
        </w:tc>
      </w:tr>
      <w:tr w:rsidR="00A72BD1" w14:paraId="16B7C780" w14:textId="77777777" w:rsidTr="00A72BD1">
        <w:trPr>
          <w:trHeight w:val="402"/>
          <w:jc w:val="center"/>
        </w:trPr>
        <w:tc>
          <w:tcPr>
            <w:tcW w:w="4620" w:type="dxa"/>
            <w:noWrap/>
            <w:vAlign w:val="center"/>
            <w:hideMark/>
          </w:tcPr>
          <w:p w14:paraId="03B47045" w14:textId="1847367C" w:rsidR="00A72BD1" w:rsidRDefault="00A72BD1" w:rsidP="00B060E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Initial Sample (200</w:t>
            </w:r>
            <w:r w:rsidR="00B060EB">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- 201</w:t>
            </w:r>
            <w:r w:rsidR="00B060EB">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p>
        </w:tc>
        <w:tc>
          <w:tcPr>
            <w:tcW w:w="222" w:type="dxa"/>
            <w:noWrap/>
            <w:vAlign w:val="bottom"/>
            <w:hideMark/>
          </w:tcPr>
          <w:p w14:paraId="3C43AD35" w14:textId="77777777" w:rsidR="00A72BD1" w:rsidRDefault="00A72BD1" w:rsidP="00A72BD1">
            <w:pPr>
              <w:rPr>
                <w:rFonts w:ascii="Times New Roman" w:eastAsia="Times New Roman" w:hAnsi="Times New Roman" w:cs="Times New Roman"/>
                <w:color w:val="000000"/>
                <w:sz w:val="24"/>
                <w:szCs w:val="24"/>
              </w:rPr>
            </w:pPr>
          </w:p>
        </w:tc>
        <w:tc>
          <w:tcPr>
            <w:tcW w:w="1960" w:type="dxa"/>
            <w:noWrap/>
            <w:vAlign w:val="center"/>
            <w:hideMark/>
          </w:tcPr>
          <w:p w14:paraId="0B588F31" w14:textId="3D7E219C" w:rsidR="00A72BD1" w:rsidRDefault="00196E01" w:rsidP="00196E0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6,913</w:t>
            </w:r>
          </w:p>
        </w:tc>
        <w:tc>
          <w:tcPr>
            <w:tcW w:w="222" w:type="dxa"/>
            <w:noWrap/>
            <w:vAlign w:val="bottom"/>
            <w:hideMark/>
          </w:tcPr>
          <w:p w14:paraId="5F7A0279" w14:textId="77777777" w:rsidR="00A72BD1" w:rsidRDefault="00A72BD1" w:rsidP="00A72BD1">
            <w:pPr>
              <w:rPr>
                <w:rFonts w:ascii="Times New Roman" w:eastAsia="Times New Roman" w:hAnsi="Times New Roman" w:cs="Times New Roman"/>
                <w:color w:val="000000"/>
                <w:sz w:val="24"/>
                <w:szCs w:val="24"/>
              </w:rPr>
            </w:pPr>
          </w:p>
        </w:tc>
        <w:tc>
          <w:tcPr>
            <w:tcW w:w="1960" w:type="dxa"/>
            <w:noWrap/>
            <w:vAlign w:val="center"/>
            <w:hideMark/>
          </w:tcPr>
          <w:p w14:paraId="66BDB438" w14:textId="2ADC3CAF" w:rsidR="00A72BD1" w:rsidRDefault="00196E01" w:rsidP="00A72BD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1,072</w:t>
            </w:r>
          </w:p>
        </w:tc>
      </w:tr>
      <w:tr w:rsidR="00A72BD1" w14:paraId="3C50DBC1" w14:textId="77777777" w:rsidTr="00A72BD1">
        <w:trPr>
          <w:trHeight w:val="315"/>
          <w:jc w:val="center"/>
        </w:trPr>
        <w:tc>
          <w:tcPr>
            <w:tcW w:w="4620" w:type="dxa"/>
            <w:noWrap/>
            <w:vAlign w:val="bottom"/>
            <w:hideMark/>
          </w:tcPr>
          <w:p w14:paraId="236D3658" w14:textId="77777777" w:rsidR="00A72BD1" w:rsidRDefault="00A72BD1" w:rsidP="00A72BD1">
            <w:pPr>
              <w:rPr>
                <w:rFonts w:ascii="Times New Roman" w:eastAsia="Times New Roman" w:hAnsi="Times New Roman" w:cs="Times New Roman"/>
                <w:color w:val="000000"/>
                <w:sz w:val="24"/>
                <w:szCs w:val="24"/>
              </w:rPr>
            </w:pPr>
          </w:p>
        </w:tc>
        <w:tc>
          <w:tcPr>
            <w:tcW w:w="222" w:type="dxa"/>
            <w:noWrap/>
            <w:vAlign w:val="bottom"/>
            <w:hideMark/>
          </w:tcPr>
          <w:p w14:paraId="2FCA9454" w14:textId="77777777" w:rsidR="00A72BD1" w:rsidRDefault="00A72BD1" w:rsidP="00A72BD1">
            <w:pPr>
              <w:spacing w:after="0"/>
              <w:rPr>
                <w:sz w:val="20"/>
                <w:szCs w:val="20"/>
              </w:rPr>
            </w:pPr>
          </w:p>
        </w:tc>
        <w:tc>
          <w:tcPr>
            <w:tcW w:w="1960" w:type="dxa"/>
            <w:noWrap/>
            <w:vAlign w:val="bottom"/>
            <w:hideMark/>
          </w:tcPr>
          <w:p w14:paraId="09A92380" w14:textId="77777777" w:rsidR="00A72BD1" w:rsidRDefault="00A72BD1" w:rsidP="00A72BD1">
            <w:pPr>
              <w:spacing w:after="0"/>
              <w:rPr>
                <w:sz w:val="20"/>
                <w:szCs w:val="20"/>
              </w:rPr>
            </w:pPr>
          </w:p>
        </w:tc>
        <w:tc>
          <w:tcPr>
            <w:tcW w:w="222" w:type="dxa"/>
            <w:noWrap/>
            <w:vAlign w:val="bottom"/>
            <w:hideMark/>
          </w:tcPr>
          <w:p w14:paraId="38C395D4" w14:textId="77777777" w:rsidR="00A72BD1" w:rsidRDefault="00A72BD1" w:rsidP="00A72BD1">
            <w:pPr>
              <w:spacing w:after="0"/>
              <w:rPr>
                <w:sz w:val="20"/>
                <w:szCs w:val="20"/>
              </w:rPr>
            </w:pPr>
          </w:p>
        </w:tc>
        <w:tc>
          <w:tcPr>
            <w:tcW w:w="1960" w:type="dxa"/>
            <w:noWrap/>
            <w:vAlign w:val="bottom"/>
            <w:hideMark/>
          </w:tcPr>
          <w:p w14:paraId="4257C5ED" w14:textId="77777777" w:rsidR="00A72BD1" w:rsidRDefault="00A72BD1" w:rsidP="00A72BD1">
            <w:pPr>
              <w:spacing w:after="0"/>
              <w:rPr>
                <w:sz w:val="20"/>
                <w:szCs w:val="20"/>
              </w:rPr>
            </w:pPr>
          </w:p>
        </w:tc>
      </w:tr>
      <w:tr w:rsidR="00A72BD1" w14:paraId="1FCD3625" w14:textId="77777777" w:rsidTr="00A72BD1">
        <w:trPr>
          <w:trHeight w:val="402"/>
          <w:jc w:val="center"/>
        </w:trPr>
        <w:tc>
          <w:tcPr>
            <w:tcW w:w="4620" w:type="dxa"/>
            <w:noWrap/>
            <w:vAlign w:val="center"/>
            <w:hideMark/>
          </w:tcPr>
          <w:p w14:paraId="050B5FF8" w14:textId="77777777" w:rsidR="00A72BD1" w:rsidRDefault="00A72BD1" w:rsidP="00A72BD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Remove:</w:t>
            </w:r>
          </w:p>
        </w:tc>
        <w:tc>
          <w:tcPr>
            <w:tcW w:w="222" w:type="dxa"/>
            <w:noWrap/>
            <w:vAlign w:val="bottom"/>
            <w:hideMark/>
          </w:tcPr>
          <w:p w14:paraId="206D734E" w14:textId="77777777" w:rsidR="00A72BD1" w:rsidRDefault="00A72BD1" w:rsidP="00A72BD1">
            <w:pPr>
              <w:rPr>
                <w:rFonts w:ascii="Times New Roman" w:eastAsia="Times New Roman" w:hAnsi="Times New Roman" w:cs="Times New Roman"/>
                <w:color w:val="000000"/>
                <w:sz w:val="24"/>
                <w:szCs w:val="24"/>
              </w:rPr>
            </w:pPr>
          </w:p>
        </w:tc>
        <w:tc>
          <w:tcPr>
            <w:tcW w:w="1960" w:type="dxa"/>
            <w:noWrap/>
            <w:vAlign w:val="bottom"/>
            <w:hideMark/>
          </w:tcPr>
          <w:p w14:paraId="21ED3262" w14:textId="77777777" w:rsidR="00A72BD1" w:rsidRDefault="00A72BD1" w:rsidP="00A72BD1">
            <w:pPr>
              <w:spacing w:after="0"/>
              <w:rPr>
                <w:sz w:val="20"/>
                <w:szCs w:val="20"/>
              </w:rPr>
            </w:pPr>
          </w:p>
        </w:tc>
        <w:tc>
          <w:tcPr>
            <w:tcW w:w="222" w:type="dxa"/>
            <w:noWrap/>
            <w:vAlign w:val="bottom"/>
            <w:hideMark/>
          </w:tcPr>
          <w:p w14:paraId="23B2922D" w14:textId="77777777" w:rsidR="00A72BD1" w:rsidRDefault="00A72BD1" w:rsidP="00A72BD1">
            <w:pPr>
              <w:spacing w:after="0"/>
              <w:rPr>
                <w:sz w:val="20"/>
                <w:szCs w:val="20"/>
              </w:rPr>
            </w:pPr>
          </w:p>
        </w:tc>
        <w:tc>
          <w:tcPr>
            <w:tcW w:w="1960" w:type="dxa"/>
            <w:noWrap/>
            <w:vAlign w:val="bottom"/>
            <w:hideMark/>
          </w:tcPr>
          <w:p w14:paraId="149E8125" w14:textId="77777777" w:rsidR="00A72BD1" w:rsidRDefault="00A72BD1" w:rsidP="00A72BD1">
            <w:pPr>
              <w:spacing w:after="0"/>
              <w:rPr>
                <w:sz w:val="20"/>
                <w:szCs w:val="20"/>
              </w:rPr>
            </w:pPr>
          </w:p>
        </w:tc>
      </w:tr>
      <w:tr w:rsidR="00A72BD1" w14:paraId="558C3C09" w14:textId="77777777" w:rsidTr="00A72BD1">
        <w:trPr>
          <w:trHeight w:val="402"/>
          <w:jc w:val="center"/>
        </w:trPr>
        <w:tc>
          <w:tcPr>
            <w:tcW w:w="4620" w:type="dxa"/>
            <w:noWrap/>
            <w:vAlign w:val="center"/>
            <w:hideMark/>
          </w:tcPr>
          <w:p w14:paraId="1EA2EAC8" w14:textId="77777777" w:rsidR="00A72BD1" w:rsidRDefault="00A72BD1" w:rsidP="00A72BD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UK GAAP Firms Only</w:t>
            </w:r>
          </w:p>
        </w:tc>
        <w:tc>
          <w:tcPr>
            <w:tcW w:w="222" w:type="dxa"/>
            <w:noWrap/>
            <w:vAlign w:val="bottom"/>
            <w:hideMark/>
          </w:tcPr>
          <w:p w14:paraId="6B15BD1E" w14:textId="77777777" w:rsidR="00A72BD1" w:rsidRDefault="00A72BD1" w:rsidP="00A72BD1">
            <w:pPr>
              <w:rPr>
                <w:rFonts w:ascii="Times New Roman" w:eastAsia="Times New Roman" w:hAnsi="Times New Roman" w:cs="Times New Roman"/>
                <w:color w:val="000000"/>
                <w:sz w:val="24"/>
                <w:szCs w:val="24"/>
              </w:rPr>
            </w:pPr>
          </w:p>
        </w:tc>
        <w:tc>
          <w:tcPr>
            <w:tcW w:w="1960" w:type="dxa"/>
            <w:noWrap/>
            <w:vAlign w:val="center"/>
            <w:hideMark/>
          </w:tcPr>
          <w:p w14:paraId="3C050629" w14:textId="5E10C556" w:rsidR="00A72BD1" w:rsidRDefault="00196E01" w:rsidP="00A72BD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(1,026)</w:t>
            </w:r>
          </w:p>
        </w:tc>
        <w:tc>
          <w:tcPr>
            <w:tcW w:w="222" w:type="dxa"/>
            <w:noWrap/>
            <w:vAlign w:val="bottom"/>
            <w:hideMark/>
          </w:tcPr>
          <w:p w14:paraId="27CA19DA" w14:textId="77777777" w:rsidR="00A72BD1" w:rsidRDefault="00A72BD1" w:rsidP="00A72BD1">
            <w:pPr>
              <w:rPr>
                <w:rFonts w:ascii="Times New Roman" w:eastAsia="Times New Roman" w:hAnsi="Times New Roman" w:cs="Times New Roman"/>
                <w:color w:val="000000"/>
                <w:sz w:val="24"/>
                <w:szCs w:val="24"/>
              </w:rPr>
            </w:pPr>
          </w:p>
        </w:tc>
        <w:tc>
          <w:tcPr>
            <w:tcW w:w="1960" w:type="dxa"/>
            <w:noWrap/>
            <w:vAlign w:val="center"/>
            <w:hideMark/>
          </w:tcPr>
          <w:p w14:paraId="0F4E9A90" w14:textId="446F642F" w:rsidR="00A72BD1" w:rsidRDefault="00196E01" w:rsidP="00A72BD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(326)</w:t>
            </w:r>
          </w:p>
        </w:tc>
      </w:tr>
      <w:tr w:rsidR="00A72BD1" w14:paraId="6325A1CF" w14:textId="77777777" w:rsidTr="00A72BD1">
        <w:trPr>
          <w:trHeight w:val="402"/>
          <w:jc w:val="center"/>
        </w:trPr>
        <w:tc>
          <w:tcPr>
            <w:tcW w:w="4620" w:type="dxa"/>
            <w:noWrap/>
            <w:vAlign w:val="center"/>
            <w:hideMark/>
          </w:tcPr>
          <w:p w14:paraId="7FE8082C" w14:textId="77777777" w:rsidR="00A72BD1" w:rsidRDefault="00A72BD1" w:rsidP="00A72BD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IFRS Firms Only</w:t>
            </w:r>
          </w:p>
        </w:tc>
        <w:tc>
          <w:tcPr>
            <w:tcW w:w="222" w:type="dxa"/>
            <w:noWrap/>
            <w:vAlign w:val="bottom"/>
            <w:hideMark/>
          </w:tcPr>
          <w:p w14:paraId="038E7733" w14:textId="77777777" w:rsidR="00A72BD1" w:rsidRDefault="00A72BD1" w:rsidP="00A72BD1">
            <w:pPr>
              <w:rPr>
                <w:rFonts w:ascii="Times New Roman" w:eastAsia="Times New Roman" w:hAnsi="Times New Roman" w:cs="Times New Roman"/>
                <w:color w:val="000000"/>
                <w:sz w:val="24"/>
                <w:szCs w:val="24"/>
              </w:rPr>
            </w:pPr>
          </w:p>
        </w:tc>
        <w:tc>
          <w:tcPr>
            <w:tcW w:w="1960" w:type="dxa"/>
            <w:noWrap/>
            <w:vAlign w:val="center"/>
            <w:hideMark/>
          </w:tcPr>
          <w:p w14:paraId="0B7F92B5" w14:textId="00634727" w:rsidR="00A72BD1" w:rsidRDefault="00196E01" w:rsidP="00A72BD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(989)</w:t>
            </w:r>
          </w:p>
        </w:tc>
        <w:tc>
          <w:tcPr>
            <w:tcW w:w="222" w:type="dxa"/>
            <w:noWrap/>
            <w:vAlign w:val="bottom"/>
            <w:hideMark/>
          </w:tcPr>
          <w:p w14:paraId="382BDF8E" w14:textId="77777777" w:rsidR="00A72BD1" w:rsidRDefault="00A72BD1" w:rsidP="00A72BD1">
            <w:pPr>
              <w:rPr>
                <w:rFonts w:ascii="Times New Roman" w:eastAsia="Times New Roman" w:hAnsi="Times New Roman" w:cs="Times New Roman"/>
                <w:color w:val="000000"/>
                <w:sz w:val="24"/>
                <w:szCs w:val="24"/>
              </w:rPr>
            </w:pPr>
          </w:p>
        </w:tc>
        <w:tc>
          <w:tcPr>
            <w:tcW w:w="1960" w:type="dxa"/>
            <w:noWrap/>
            <w:vAlign w:val="center"/>
            <w:hideMark/>
          </w:tcPr>
          <w:p w14:paraId="062C0E1A" w14:textId="7BAD621B" w:rsidR="00A72BD1" w:rsidRDefault="00196E01" w:rsidP="00A72BD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w:t>
            </w:r>
          </w:p>
        </w:tc>
      </w:tr>
      <w:tr w:rsidR="00A72BD1" w14:paraId="460D8243" w14:textId="77777777" w:rsidTr="00A72BD1">
        <w:trPr>
          <w:trHeight w:val="402"/>
          <w:jc w:val="center"/>
        </w:trPr>
        <w:tc>
          <w:tcPr>
            <w:tcW w:w="4620" w:type="dxa"/>
            <w:noWrap/>
            <w:vAlign w:val="center"/>
            <w:hideMark/>
          </w:tcPr>
          <w:p w14:paraId="35BD5C0A" w14:textId="77777777" w:rsidR="00A72BD1" w:rsidRDefault="00A72BD1" w:rsidP="00A72BD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Outside Eight Year Window</w:t>
            </w:r>
          </w:p>
        </w:tc>
        <w:tc>
          <w:tcPr>
            <w:tcW w:w="222" w:type="dxa"/>
            <w:noWrap/>
            <w:vAlign w:val="center"/>
            <w:hideMark/>
          </w:tcPr>
          <w:p w14:paraId="3C80BD4E" w14:textId="77777777" w:rsidR="00A72BD1" w:rsidRDefault="00A72BD1" w:rsidP="00A72BD1">
            <w:pPr>
              <w:rPr>
                <w:rFonts w:ascii="Times New Roman" w:eastAsia="Times New Roman" w:hAnsi="Times New Roman" w:cs="Times New Roman"/>
                <w:color w:val="000000"/>
                <w:sz w:val="24"/>
                <w:szCs w:val="24"/>
              </w:rPr>
            </w:pPr>
          </w:p>
        </w:tc>
        <w:tc>
          <w:tcPr>
            <w:tcW w:w="1960" w:type="dxa"/>
            <w:noWrap/>
            <w:vAlign w:val="center"/>
            <w:hideMark/>
          </w:tcPr>
          <w:p w14:paraId="31EB32BA" w14:textId="459995D4" w:rsidR="00A72BD1" w:rsidRDefault="00196E01" w:rsidP="00A72BD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(1,279)</w:t>
            </w:r>
          </w:p>
        </w:tc>
        <w:tc>
          <w:tcPr>
            <w:tcW w:w="222" w:type="dxa"/>
            <w:noWrap/>
            <w:vAlign w:val="bottom"/>
            <w:hideMark/>
          </w:tcPr>
          <w:p w14:paraId="2705D7CC" w14:textId="77777777" w:rsidR="00A72BD1" w:rsidRDefault="00A72BD1" w:rsidP="00A72BD1">
            <w:pPr>
              <w:rPr>
                <w:rFonts w:ascii="Times New Roman" w:eastAsia="Times New Roman" w:hAnsi="Times New Roman" w:cs="Times New Roman"/>
                <w:color w:val="000000"/>
                <w:sz w:val="24"/>
                <w:szCs w:val="24"/>
              </w:rPr>
            </w:pPr>
          </w:p>
        </w:tc>
        <w:tc>
          <w:tcPr>
            <w:tcW w:w="1960" w:type="dxa"/>
            <w:noWrap/>
            <w:vAlign w:val="center"/>
            <w:hideMark/>
          </w:tcPr>
          <w:p w14:paraId="263478DD" w14:textId="77777777" w:rsidR="00A72BD1" w:rsidRDefault="00A72BD1" w:rsidP="00A72BD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r>
      <w:tr w:rsidR="00A72BD1" w14:paraId="76E13ECB" w14:textId="77777777" w:rsidTr="00A72BD1">
        <w:trPr>
          <w:trHeight w:val="402"/>
          <w:jc w:val="center"/>
        </w:trPr>
        <w:tc>
          <w:tcPr>
            <w:tcW w:w="4620" w:type="dxa"/>
            <w:noWrap/>
            <w:vAlign w:val="center"/>
            <w:hideMark/>
          </w:tcPr>
          <w:p w14:paraId="0F4B253A" w14:textId="77777777" w:rsidR="00A72BD1" w:rsidRDefault="00A72BD1" w:rsidP="00A72BD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Missing / Zero Lagged R&amp;D Expenditures</w:t>
            </w:r>
          </w:p>
        </w:tc>
        <w:tc>
          <w:tcPr>
            <w:tcW w:w="222" w:type="dxa"/>
            <w:noWrap/>
            <w:vAlign w:val="bottom"/>
            <w:hideMark/>
          </w:tcPr>
          <w:p w14:paraId="50DFD03A" w14:textId="77777777" w:rsidR="00A72BD1" w:rsidRDefault="00A72BD1" w:rsidP="00A72BD1">
            <w:pPr>
              <w:rPr>
                <w:rFonts w:ascii="Times New Roman" w:eastAsia="Times New Roman" w:hAnsi="Times New Roman" w:cs="Times New Roman"/>
                <w:color w:val="000000"/>
                <w:sz w:val="24"/>
                <w:szCs w:val="24"/>
              </w:rPr>
            </w:pPr>
          </w:p>
        </w:tc>
        <w:tc>
          <w:tcPr>
            <w:tcW w:w="1960" w:type="dxa"/>
            <w:noWrap/>
            <w:vAlign w:val="center"/>
            <w:hideMark/>
          </w:tcPr>
          <w:p w14:paraId="354416B7" w14:textId="3015BD29" w:rsidR="00A72BD1" w:rsidRDefault="00196E01" w:rsidP="00A72BD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(266)</w:t>
            </w:r>
          </w:p>
        </w:tc>
        <w:tc>
          <w:tcPr>
            <w:tcW w:w="222" w:type="dxa"/>
            <w:noWrap/>
            <w:vAlign w:val="bottom"/>
            <w:hideMark/>
          </w:tcPr>
          <w:p w14:paraId="10283590" w14:textId="77777777" w:rsidR="00A72BD1" w:rsidRDefault="00A72BD1" w:rsidP="00A72BD1">
            <w:pPr>
              <w:rPr>
                <w:rFonts w:ascii="Times New Roman" w:eastAsia="Times New Roman" w:hAnsi="Times New Roman" w:cs="Times New Roman"/>
                <w:color w:val="000000"/>
                <w:sz w:val="24"/>
                <w:szCs w:val="24"/>
              </w:rPr>
            </w:pPr>
          </w:p>
        </w:tc>
        <w:tc>
          <w:tcPr>
            <w:tcW w:w="1960" w:type="dxa"/>
            <w:noWrap/>
            <w:vAlign w:val="center"/>
            <w:hideMark/>
          </w:tcPr>
          <w:p w14:paraId="719B88EF" w14:textId="4D068AE3" w:rsidR="00A72BD1" w:rsidRDefault="00196E01" w:rsidP="00A72BD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A72BD1" w14:paraId="06ABCD11" w14:textId="77777777" w:rsidTr="00A72BD1">
        <w:trPr>
          <w:trHeight w:val="402"/>
          <w:jc w:val="center"/>
        </w:trPr>
        <w:tc>
          <w:tcPr>
            <w:tcW w:w="4620" w:type="dxa"/>
            <w:noWrap/>
            <w:vAlign w:val="center"/>
            <w:hideMark/>
          </w:tcPr>
          <w:p w14:paraId="3A32E942" w14:textId="77777777" w:rsidR="00A72BD1" w:rsidRDefault="00A72BD1" w:rsidP="00A72BD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Missing Accounting / Financial Data</w:t>
            </w:r>
          </w:p>
        </w:tc>
        <w:tc>
          <w:tcPr>
            <w:tcW w:w="222" w:type="dxa"/>
            <w:noWrap/>
            <w:vAlign w:val="bottom"/>
            <w:hideMark/>
          </w:tcPr>
          <w:p w14:paraId="4E2B5806" w14:textId="77777777" w:rsidR="00A72BD1" w:rsidRDefault="00A72BD1" w:rsidP="00A72BD1">
            <w:pPr>
              <w:rPr>
                <w:rFonts w:ascii="Times New Roman" w:eastAsia="Times New Roman" w:hAnsi="Times New Roman" w:cs="Times New Roman"/>
                <w:color w:val="000000"/>
                <w:sz w:val="24"/>
                <w:szCs w:val="24"/>
              </w:rPr>
            </w:pPr>
          </w:p>
        </w:tc>
        <w:tc>
          <w:tcPr>
            <w:tcW w:w="1960" w:type="dxa"/>
            <w:noWrap/>
            <w:vAlign w:val="center"/>
            <w:hideMark/>
          </w:tcPr>
          <w:p w14:paraId="6FDCD038" w14:textId="0F0AFAC3" w:rsidR="00A72BD1" w:rsidRDefault="00196E01" w:rsidP="00A72BD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(439)</w:t>
            </w:r>
          </w:p>
        </w:tc>
        <w:tc>
          <w:tcPr>
            <w:tcW w:w="222" w:type="dxa"/>
            <w:noWrap/>
            <w:vAlign w:val="bottom"/>
            <w:hideMark/>
          </w:tcPr>
          <w:p w14:paraId="052CDFB8" w14:textId="77777777" w:rsidR="00A72BD1" w:rsidRDefault="00A72BD1" w:rsidP="00A72BD1">
            <w:pPr>
              <w:rPr>
                <w:rFonts w:ascii="Times New Roman" w:eastAsia="Times New Roman" w:hAnsi="Times New Roman" w:cs="Times New Roman"/>
                <w:color w:val="000000"/>
                <w:sz w:val="24"/>
                <w:szCs w:val="24"/>
              </w:rPr>
            </w:pPr>
          </w:p>
        </w:tc>
        <w:tc>
          <w:tcPr>
            <w:tcW w:w="1960" w:type="dxa"/>
            <w:noWrap/>
            <w:vAlign w:val="center"/>
            <w:hideMark/>
          </w:tcPr>
          <w:p w14:paraId="258F5490" w14:textId="3342CB94" w:rsidR="00A72BD1" w:rsidRDefault="00196E01" w:rsidP="00A72BD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A72BD1" w14:paraId="6C80D1AC" w14:textId="77777777" w:rsidTr="00A72BD1">
        <w:trPr>
          <w:trHeight w:val="315"/>
          <w:jc w:val="center"/>
        </w:trPr>
        <w:tc>
          <w:tcPr>
            <w:tcW w:w="4620" w:type="dxa"/>
            <w:noWrap/>
            <w:vAlign w:val="bottom"/>
            <w:hideMark/>
          </w:tcPr>
          <w:p w14:paraId="07E6B3DC" w14:textId="77777777" w:rsidR="00A72BD1" w:rsidRDefault="00A72BD1" w:rsidP="00A72BD1">
            <w:pPr>
              <w:rPr>
                <w:rFonts w:ascii="Times New Roman" w:eastAsia="Times New Roman" w:hAnsi="Times New Roman" w:cs="Times New Roman"/>
                <w:color w:val="000000"/>
                <w:sz w:val="24"/>
                <w:szCs w:val="24"/>
              </w:rPr>
            </w:pPr>
          </w:p>
        </w:tc>
        <w:tc>
          <w:tcPr>
            <w:tcW w:w="222" w:type="dxa"/>
            <w:noWrap/>
            <w:vAlign w:val="bottom"/>
            <w:hideMark/>
          </w:tcPr>
          <w:p w14:paraId="388EB89E" w14:textId="77777777" w:rsidR="00A72BD1" w:rsidRDefault="00A72BD1" w:rsidP="00A72BD1">
            <w:pPr>
              <w:spacing w:after="0"/>
              <w:rPr>
                <w:sz w:val="20"/>
                <w:szCs w:val="20"/>
              </w:rPr>
            </w:pPr>
          </w:p>
        </w:tc>
        <w:tc>
          <w:tcPr>
            <w:tcW w:w="1960" w:type="dxa"/>
            <w:noWrap/>
            <w:vAlign w:val="bottom"/>
            <w:hideMark/>
          </w:tcPr>
          <w:p w14:paraId="564D59FE" w14:textId="77777777" w:rsidR="00A72BD1" w:rsidRDefault="00A72BD1" w:rsidP="00A72BD1">
            <w:pPr>
              <w:spacing w:after="0"/>
              <w:rPr>
                <w:sz w:val="20"/>
                <w:szCs w:val="20"/>
              </w:rPr>
            </w:pPr>
          </w:p>
        </w:tc>
        <w:tc>
          <w:tcPr>
            <w:tcW w:w="222" w:type="dxa"/>
            <w:noWrap/>
            <w:vAlign w:val="bottom"/>
            <w:hideMark/>
          </w:tcPr>
          <w:p w14:paraId="708241E2" w14:textId="77777777" w:rsidR="00A72BD1" w:rsidRDefault="00A72BD1" w:rsidP="00A72BD1">
            <w:pPr>
              <w:spacing w:after="0"/>
              <w:rPr>
                <w:sz w:val="20"/>
                <w:szCs w:val="20"/>
              </w:rPr>
            </w:pPr>
          </w:p>
        </w:tc>
        <w:tc>
          <w:tcPr>
            <w:tcW w:w="1960" w:type="dxa"/>
            <w:noWrap/>
            <w:vAlign w:val="bottom"/>
            <w:hideMark/>
          </w:tcPr>
          <w:p w14:paraId="5026686C" w14:textId="77777777" w:rsidR="00A72BD1" w:rsidRDefault="00A72BD1" w:rsidP="00A72BD1">
            <w:pPr>
              <w:spacing w:after="0"/>
              <w:rPr>
                <w:sz w:val="20"/>
                <w:szCs w:val="20"/>
              </w:rPr>
            </w:pPr>
          </w:p>
        </w:tc>
      </w:tr>
      <w:tr w:rsidR="00A72BD1" w14:paraId="739A66DA" w14:textId="77777777" w:rsidTr="00A72BD1">
        <w:trPr>
          <w:trHeight w:val="402"/>
          <w:jc w:val="center"/>
        </w:trPr>
        <w:tc>
          <w:tcPr>
            <w:tcW w:w="4620" w:type="dxa"/>
            <w:noWrap/>
            <w:vAlign w:val="center"/>
            <w:hideMark/>
          </w:tcPr>
          <w:p w14:paraId="24F8968B" w14:textId="77777777" w:rsidR="00A72BD1" w:rsidRDefault="00A72BD1" w:rsidP="00A72BD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Remaining Sample</w:t>
            </w:r>
          </w:p>
        </w:tc>
        <w:tc>
          <w:tcPr>
            <w:tcW w:w="222" w:type="dxa"/>
            <w:noWrap/>
            <w:vAlign w:val="bottom"/>
            <w:hideMark/>
          </w:tcPr>
          <w:p w14:paraId="6FB40B10" w14:textId="77777777" w:rsidR="00A72BD1" w:rsidRDefault="00A72BD1" w:rsidP="00A72BD1">
            <w:pPr>
              <w:rPr>
                <w:rFonts w:ascii="Times New Roman" w:eastAsia="Times New Roman" w:hAnsi="Times New Roman" w:cs="Times New Roman"/>
                <w:color w:val="000000"/>
                <w:sz w:val="24"/>
                <w:szCs w:val="24"/>
              </w:rPr>
            </w:pPr>
          </w:p>
        </w:tc>
        <w:tc>
          <w:tcPr>
            <w:tcW w:w="1960" w:type="dxa"/>
            <w:noWrap/>
            <w:vAlign w:val="center"/>
            <w:hideMark/>
          </w:tcPr>
          <w:p w14:paraId="69196A55" w14:textId="77777777" w:rsidR="00A72BD1" w:rsidRDefault="00A72BD1" w:rsidP="00A72BD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2,914 </w:t>
            </w:r>
          </w:p>
        </w:tc>
        <w:tc>
          <w:tcPr>
            <w:tcW w:w="222" w:type="dxa"/>
            <w:noWrap/>
            <w:vAlign w:val="bottom"/>
            <w:hideMark/>
          </w:tcPr>
          <w:p w14:paraId="0F113319" w14:textId="77777777" w:rsidR="00A72BD1" w:rsidRDefault="00A72BD1" w:rsidP="00A72BD1">
            <w:pPr>
              <w:rPr>
                <w:rFonts w:ascii="Times New Roman" w:eastAsia="Times New Roman" w:hAnsi="Times New Roman" w:cs="Times New Roman"/>
                <w:color w:val="000000"/>
                <w:sz w:val="24"/>
                <w:szCs w:val="24"/>
              </w:rPr>
            </w:pPr>
          </w:p>
        </w:tc>
        <w:tc>
          <w:tcPr>
            <w:tcW w:w="1960" w:type="dxa"/>
            <w:noWrap/>
            <w:vAlign w:val="center"/>
            <w:hideMark/>
          </w:tcPr>
          <w:p w14:paraId="21E1EEFF" w14:textId="77777777" w:rsidR="00A72BD1" w:rsidRDefault="00A72BD1" w:rsidP="00A72BD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508 </w:t>
            </w:r>
          </w:p>
        </w:tc>
      </w:tr>
      <w:tr w:rsidR="00A72BD1" w14:paraId="345D68DA" w14:textId="77777777" w:rsidTr="00A72BD1">
        <w:trPr>
          <w:trHeight w:val="315"/>
          <w:jc w:val="center"/>
        </w:trPr>
        <w:tc>
          <w:tcPr>
            <w:tcW w:w="4620" w:type="dxa"/>
            <w:noWrap/>
            <w:vAlign w:val="bottom"/>
            <w:hideMark/>
          </w:tcPr>
          <w:p w14:paraId="0568BE92" w14:textId="77777777" w:rsidR="00A72BD1" w:rsidRDefault="00A72BD1" w:rsidP="00A72BD1">
            <w:pPr>
              <w:rPr>
                <w:rFonts w:ascii="Times New Roman" w:eastAsia="Times New Roman" w:hAnsi="Times New Roman" w:cs="Times New Roman"/>
                <w:color w:val="000000"/>
                <w:sz w:val="24"/>
                <w:szCs w:val="24"/>
              </w:rPr>
            </w:pPr>
          </w:p>
        </w:tc>
        <w:tc>
          <w:tcPr>
            <w:tcW w:w="222" w:type="dxa"/>
            <w:noWrap/>
            <w:vAlign w:val="bottom"/>
            <w:hideMark/>
          </w:tcPr>
          <w:p w14:paraId="1E63A6CE" w14:textId="77777777" w:rsidR="00A72BD1" w:rsidRDefault="00A72BD1" w:rsidP="00A72BD1">
            <w:pPr>
              <w:spacing w:after="0"/>
              <w:rPr>
                <w:sz w:val="20"/>
                <w:szCs w:val="20"/>
              </w:rPr>
            </w:pPr>
          </w:p>
        </w:tc>
        <w:tc>
          <w:tcPr>
            <w:tcW w:w="1960" w:type="dxa"/>
            <w:noWrap/>
            <w:vAlign w:val="bottom"/>
            <w:hideMark/>
          </w:tcPr>
          <w:p w14:paraId="7002F66A" w14:textId="77777777" w:rsidR="00A72BD1" w:rsidRDefault="00A72BD1" w:rsidP="00A72BD1">
            <w:pPr>
              <w:spacing w:after="0"/>
              <w:rPr>
                <w:sz w:val="20"/>
                <w:szCs w:val="20"/>
              </w:rPr>
            </w:pPr>
          </w:p>
        </w:tc>
        <w:tc>
          <w:tcPr>
            <w:tcW w:w="222" w:type="dxa"/>
            <w:noWrap/>
            <w:vAlign w:val="bottom"/>
            <w:hideMark/>
          </w:tcPr>
          <w:p w14:paraId="3CB42895" w14:textId="77777777" w:rsidR="00A72BD1" w:rsidRDefault="00A72BD1" w:rsidP="00A72BD1">
            <w:pPr>
              <w:spacing w:after="0"/>
              <w:rPr>
                <w:sz w:val="20"/>
                <w:szCs w:val="20"/>
              </w:rPr>
            </w:pPr>
          </w:p>
        </w:tc>
        <w:tc>
          <w:tcPr>
            <w:tcW w:w="1960" w:type="dxa"/>
            <w:noWrap/>
            <w:vAlign w:val="bottom"/>
            <w:hideMark/>
          </w:tcPr>
          <w:p w14:paraId="6685C181" w14:textId="77777777" w:rsidR="00A72BD1" w:rsidRDefault="00A72BD1" w:rsidP="00A72BD1">
            <w:pPr>
              <w:spacing w:after="0"/>
              <w:rPr>
                <w:sz w:val="20"/>
                <w:szCs w:val="20"/>
              </w:rPr>
            </w:pPr>
          </w:p>
        </w:tc>
      </w:tr>
      <w:tr w:rsidR="00A72BD1" w14:paraId="68164950" w14:textId="77777777" w:rsidTr="00A72BD1">
        <w:trPr>
          <w:trHeight w:val="402"/>
          <w:jc w:val="center"/>
        </w:trPr>
        <w:tc>
          <w:tcPr>
            <w:tcW w:w="4620" w:type="dxa"/>
            <w:noWrap/>
            <w:vAlign w:val="center"/>
            <w:hideMark/>
          </w:tcPr>
          <w:p w14:paraId="7E8C37C0" w14:textId="77777777" w:rsidR="00A72BD1" w:rsidRDefault="00A72BD1" w:rsidP="00A72BD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Remove:</w:t>
            </w:r>
          </w:p>
        </w:tc>
        <w:tc>
          <w:tcPr>
            <w:tcW w:w="222" w:type="dxa"/>
            <w:noWrap/>
            <w:vAlign w:val="bottom"/>
            <w:hideMark/>
          </w:tcPr>
          <w:p w14:paraId="6443C8AB" w14:textId="77777777" w:rsidR="00A72BD1" w:rsidRDefault="00A72BD1" w:rsidP="00A72BD1">
            <w:pPr>
              <w:rPr>
                <w:rFonts w:ascii="Times New Roman" w:eastAsia="Times New Roman" w:hAnsi="Times New Roman" w:cs="Times New Roman"/>
                <w:color w:val="000000"/>
                <w:sz w:val="24"/>
                <w:szCs w:val="24"/>
              </w:rPr>
            </w:pPr>
          </w:p>
        </w:tc>
        <w:tc>
          <w:tcPr>
            <w:tcW w:w="1960" w:type="dxa"/>
            <w:noWrap/>
            <w:vAlign w:val="bottom"/>
            <w:hideMark/>
          </w:tcPr>
          <w:p w14:paraId="17763525" w14:textId="77777777" w:rsidR="00A72BD1" w:rsidRDefault="00A72BD1" w:rsidP="00A72BD1">
            <w:pPr>
              <w:spacing w:after="0"/>
              <w:rPr>
                <w:sz w:val="20"/>
                <w:szCs w:val="20"/>
              </w:rPr>
            </w:pPr>
          </w:p>
        </w:tc>
        <w:tc>
          <w:tcPr>
            <w:tcW w:w="222" w:type="dxa"/>
            <w:noWrap/>
            <w:vAlign w:val="bottom"/>
            <w:hideMark/>
          </w:tcPr>
          <w:p w14:paraId="2CE18AEF" w14:textId="77777777" w:rsidR="00A72BD1" w:rsidRDefault="00A72BD1" w:rsidP="00A72BD1">
            <w:pPr>
              <w:spacing w:after="0"/>
              <w:rPr>
                <w:sz w:val="20"/>
                <w:szCs w:val="20"/>
              </w:rPr>
            </w:pPr>
          </w:p>
        </w:tc>
        <w:tc>
          <w:tcPr>
            <w:tcW w:w="1960" w:type="dxa"/>
            <w:noWrap/>
            <w:vAlign w:val="bottom"/>
            <w:hideMark/>
          </w:tcPr>
          <w:p w14:paraId="639BB908" w14:textId="77777777" w:rsidR="00A72BD1" w:rsidRDefault="00A72BD1" w:rsidP="00A72BD1">
            <w:pPr>
              <w:spacing w:after="0"/>
              <w:rPr>
                <w:sz w:val="20"/>
                <w:szCs w:val="20"/>
              </w:rPr>
            </w:pPr>
          </w:p>
        </w:tc>
      </w:tr>
      <w:tr w:rsidR="00A72BD1" w14:paraId="56D5737F" w14:textId="77777777" w:rsidTr="00233DB1">
        <w:trPr>
          <w:trHeight w:val="402"/>
          <w:jc w:val="center"/>
        </w:trPr>
        <w:tc>
          <w:tcPr>
            <w:tcW w:w="4620" w:type="dxa"/>
            <w:noWrap/>
            <w:vAlign w:val="center"/>
            <w:hideMark/>
          </w:tcPr>
          <w:p w14:paraId="3A0760FF" w14:textId="77777777" w:rsidR="00A72BD1" w:rsidRDefault="00A72BD1" w:rsidP="00A72BD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Expensers under IFRS</w:t>
            </w:r>
          </w:p>
        </w:tc>
        <w:tc>
          <w:tcPr>
            <w:tcW w:w="222" w:type="dxa"/>
            <w:noWrap/>
            <w:vAlign w:val="bottom"/>
            <w:hideMark/>
          </w:tcPr>
          <w:p w14:paraId="4820F5CC" w14:textId="77777777" w:rsidR="00A72BD1" w:rsidRDefault="00A72BD1" w:rsidP="00A72BD1">
            <w:pPr>
              <w:rPr>
                <w:rFonts w:ascii="Times New Roman" w:eastAsia="Times New Roman" w:hAnsi="Times New Roman" w:cs="Times New Roman"/>
                <w:color w:val="000000"/>
                <w:sz w:val="24"/>
                <w:szCs w:val="24"/>
              </w:rPr>
            </w:pPr>
          </w:p>
        </w:tc>
        <w:tc>
          <w:tcPr>
            <w:tcW w:w="1960" w:type="dxa"/>
            <w:noWrap/>
            <w:vAlign w:val="center"/>
            <w:hideMark/>
          </w:tcPr>
          <w:p w14:paraId="338260D0" w14:textId="77777777" w:rsidR="00A72BD1" w:rsidRDefault="00A72BD1" w:rsidP="00A72BD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(1,032)</w:t>
            </w:r>
          </w:p>
        </w:tc>
        <w:tc>
          <w:tcPr>
            <w:tcW w:w="222" w:type="dxa"/>
            <w:noWrap/>
            <w:vAlign w:val="bottom"/>
            <w:hideMark/>
          </w:tcPr>
          <w:p w14:paraId="2BC8CCE7" w14:textId="77777777" w:rsidR="00A72BD1" w:rsidRDefault="00A72BD1" w:rsidP="00A72BD1">
            <w:pPr>
              <w:rPr>
                <w:rFonts w:ascii="Times New Roman" w:eastAsia="Times New Roman" w:hAnsi="Times New Roman" w:cs="Times New Roman"/>
                <w:color w:val="000000"/>
                <w:sz w:val="24"/>
                <w:szCs w:val="24"/>
              </w:rPr>
            </w:pPr>
          </w:p>
        </w:tc>
        <w:tc>
          <w:tcPr>
            <w:tcW w:w="1960" w:type="dxa"/>
            <w:noWrap/>
            <w:vAlign w:val="center"/>
            <w:hideMark/>
          </w:tcPr>
          <w:p w14:paraId="51697C61" w14:textId="77777777" w:rsidR="00A72BD1" w:rsidRDefault="00A72BD1" w:rsidP="00A72BD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(167)</w:t>
            </w:r>
          </w:p>
        </w:tc>
      </w:tr>
      <w:tr w:rsidR="00A72BD1" w14:paraId="14176A51" w14:textId="77777777" w:rsidTr="00233DB1">
        <w:trPr>
          <w:trHeight w:val="402"/>
          <w:jc w:val="center"/>
        </w:trPr>
        <w:tc>
          <w:tcPr>
            <w:tcW w:w="4620" w:type="dxa"/>
            <w:noWrap/>
            <w:vAlign w:val="center"/>
            <w:hideMark/>
          </w:tcPr>
          <w:p w14:paraId="55BCBC4E" w14:textId="77777777" w:rsidR="00A72BD1" w:rsidRDefault="00A72BD1" w:rsidP="00A72BD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Mixed R&amp;D Policy</w:t>
            </w:r>
          </w:p>
        </w:tc>
        <w:tc>
          <w:tcPr>
            <w:tcW w:w="222" w:type="dxa"/>
            <w:noWrap/>
            <w:vAlign w:val="bottom"/>
            <w:hideMark/>
          </w:tcPr>
          <w:p w14:paraId="4490EF20" w14:textId="77777777" w:rsidR="00A72BD1" w:rsidRDefault="00A72BD1" w:rsidP="00A72BD1">
            <w:pPr>
              <w:rPr>
                <w:rFonts w:ascii="Times New Roman" w:eastAsia="Times New Roman" w:hAnsi="Times New Roman" w:cs="Times New Roman"/>
                <w:color w:val="000000"/>
                <w:sz w:val="24"/>
                <w:szCs w:val="24"/>
              </w:rPr>
            </w:pPr>
          </w:p>
        </w:tc>
        <w:tc>
          <w:tcPr>
            <w:tcW w:w="1960" w:type="dxa"/>
            <w:tcBorders>
              <w:top w:val="nil"/>
              <w:left w:val="nil"/>
              <w:right w:val="nil"/>
            </w:tcBorders>
            <w:noWrap/>
            <w:vAlign w:val="center"/>
            <w:hideMark/>
          </w:tcPr>
          <w:p w14:paraId="073282F5" w14:textId="77777777" w:rsidR="00A72BD1" w:rsidRDefault="00A72BD1" w:rsidP="00A72BD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(685)</w:t>
            </w:r>
          </w:p>
        </w:tc>
        <w:tc>
          <w:tcPr>
            <w:tcW w:w="222" w:type="dxa"/>
            <w:noWrap/>
            <w:vAlign w:val="bottom"/>
            <w:hideMark/>
          </w:tcPr>
          <w:p w14:paraId="37D6ACCC" w14:textId="77777777" w:rsidR="00A72BD1" w:rsidRDefault="00A72BD1" w:rsidP="00A72BD1">
            <w:pPr>
              <w:rPr>
                <w:rFonts w:ascii="Times New Roman" w:eastAsia="Times New Roman" w:hAnsi="Times New Roman" w:cs="Times New Roman"/>
                <w:color w:val="000000"/>
                <w:sz w:val="24"/>
                <w:szCs w:val="24"/>
              </w:rPr>
            </w:pPr>
          </w:p>
        </w:tc>
        <w:tc>
          <w:tcPr>
            <w:tcW w:w="1960" w:type="dxa"/>
            <w:tcBorders>
              <w:top w:val="nil"/>
              <w:left w:val="nil"/>
              <w:right w:val="nil"/>
            </w:tcBorders>
            <w:noWrap/>
            <w:vAlign w:val="center"/>
            <w:hideMark/>
          </w:tcPr>
          <w:p w14:paraId="41AFE600" w14:textId="4AC89E35" w:rsidR="00DA688D" w:rsidRDefault="00A72BD1" w:rsidP="00DA688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w:t>
            </w:r>
          </w:p>
        </w:tc>
      </w:tr>
      <w:tr w:rsidR="00196E01" w14:paraId="6D853927" w14:textId="77777777" w:rsidTr="00233DB1">
        <w:trPr>
          <w:trHeight w:val="402"/>
          <w:jc w:val="center"/>
        </w:trPr>
        <w:tc>
          <w:tcPr>
            <w:tcW w:w="4620" w:type="dxa"/>
            <w:noWrap/>
            <w:vAlign w:val="center"/>
          </w:tcPr>
          <w:p w14:paraId="74AF228B" w14:textId="5D37134A" w:rsidR="00196E01" w:rsidRDefault="00196E01" w:rsidP="00233DB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Entropy Balanc</w:t>
            </w:r>
            <w:r w:rsidR="00925300">
              <w:rPr>
                <w:rFonts w:ascii="Times New Roman" w:eastAsia="Times New Roman" w:hAnsi="Times New Roman" w:cs="Times New Roman"/>
                <w:color w:val="000000"/>
                <w:sz w:val="24"/>
                <w:szCs w:val="24"/>
              </w:rPr>
              <w:t>ing</w:t>
            </w:r>
          </w:p>
        </w:tc>
        <w:tc>
          <w:tcPr>
            <w:tcW w:w="222" w:type="dxa"/>
            <w:noWrap/>
            <w:vAlign w:val="bottom"/>
          </w:tcPr>
          <w:p w14:paraId="7DCD1C43" w14:textId="77777777" w:rsidR="00196E01" w:rsidRDefault="00196E01" w:rsidP="00A72BD1">
            <w:pPr>
              <w:rPr>
                <w:rFonts w:ascii="Times New Roman" w:eastAsia="Times New Roman" w:hAnsi="Times New Roman" w:cs="Times New Roman"/>
                <w:color w:val="000000"/>
                <w:sz w:val="24"/>
                <w:szCs w:val="24"/>
              </w:rPr>
            </w:pPr>
          </w:p>
        </w:tc>
        <w:tc>
          <w:tcPr>
            <w:tcW w:w="1960" w:type="dxa"/>
            <w:tcBorders>
              <w:top w:val="nil"/>
              <w:left w:val="nil"/>
              <w:bottom w:val="single" w:sz="4" w:space="0" w:color="auto"/>
              <w:right w:val="nil"/>
            </w:tcBorders>
            <w:noWrap/>
            <w:vAlign w:val="center"/>
          </w:tcPr>
          <w:p w14:paraId="40C23A97" w14:textId="171C09F6" w:rsidR="00196E01" w:rsidRDefault="00196E01" w:rsidP="00A72BD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(397)</w:t>
            </w:r>
          </w:p>
        </w:tc>
        <w:tc>
          <w:tcPr>
            <w:tcW w:w="222" w:type="dxa"/>
            <w:noWrap/>
            <w:vAlign w:val="bottom"/>
          </w:tcPr>
          <w:p w14:paraId="764E7D42" w14:textId="77777777" w:rsidR="00196E01" w:rsidRDefault="00196E01" w:rsidP="00A72BD1">
            <w:pPr>
              <w:rPr>
                <w:rFonts w:ascii="Times New Roman" w:eastAsia="Times New Roman" w:hAnsi="Times New Roman" w:cs="Times New Roman"/>
                <w:color w:val="000000"/>
                <w:sz w:val="24"/>
                <w:szCs w:val="24"/>
              </w:rPr>
            </w:pPr>
          </w:p>
        </w:tc>
        <w:tc>
          <w:tcPr>
            <w:tcW w:w="1960" w:type="dxa"/>
            <w:tcBorders>
              <w:top w:val="nil"/>
              <w:left w:val="nil"/>
              <w:bottom w:val="single" w:sz="4" w:space="0" w:color="auto"/>
              <w:right w:val="nil"/>
            </w:tcBorders>
            <w:noWrap/>
            <w:vAlign w:val="center"/>
          </w:tcPr>
          <w:p w14:paraId="3C2834FA" w14:textId="4C49D8BE" w:rsidR="00196E01" w:rsidRDefault="00196E01" w:rsidP="00DA688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r>
      <w:tr w:rsidR="00A72BD1" w14:paraId="5D74BA11" w14:textId="77777777" w:rsidTr="00A72BD1">
        <w:trPr>
          <w:trHeight w:val="402"/>
          <w:jc w:val="center"/>
        </w:trPr>
        <w:tc>
          <w:tcPr>
            <w:tcW w:w="4620" w:type="dxa"/>
            <w:noWrap/>
            <w:vAlign w:val="center"/>
          </w:tcPr>
          <w:p w14:paraId="234B74C9" w14:textId="77777777" w:rsidR="00A72BD1" w:rsidRDefault="00A72BD1" w:rsidP="00A72BD1">
            <w:pPr>
              <w:spacing w:after="0" w:line="240" w:lineRule="auto"/>
              <w:rPr>
                <w:rFonts w:ascii="Times New Roman" w:eastAsia="Times New Roman" w:hAnsi="Times New Roman" w:cs="Times New Roman"/>
                <w:color w:val="000000"/>
                <w:sz w:val="24"/>
                <w:szCs w:val="24"/>
              </w:rPr>
            </w:pPr>
          </w:p>
        </w:tc>
        <w:tc>
          <w:tcPr>
            <w:tcW w:w="222" w:type="dxa"/>
            <w:noWrap/>
            <w:vAlign w:val="bottom"/>
          </w:tcPr>
          <w:p w14:paraId="20CBFD8A" w14:textId="77777777" w:rsidR="00A72BD1" w:rsidRDefault="00A72BD1" w:rsidP="00A72BD1">
            <w:pPr>
              <w:rPr>
                <w:rFonts w:ascii="Times New Roman" w:eastAsia="Times New Roman" w:hAnsi="Times New Roman" w:cs="Times New Roman"/>
                <w:color w:val="000000"/>
                <w:sz w:val="24"/>
                <w:szCs w:val="24"/>
              </w:rPr>
            </w:pPr>
          </w:p>
        </w:tc>
        <w:tc>
          <w:tcPr>
            <w:tcW w:w="1960" w:type="dxa"/>
            <w:noWrap/>
            <w:vAlign w:val="center"/>
          </w:tcPr>
          <w:p w14:paraId="4CCA6BA7" w14:textId="77777777" w:rsidR="00A72BD1" w:rsidDel="004B726A" w:rsidRDefault="00A72BD1" w:rsidP="00A72BD1">
            <w:pPr>
              <w:spacing w:after="0" w:line="240" w:lineRule="auto"/>
              <w:jc w:val="center"/>
              <w:rPr>
                <w:rFonts w:ascii="Times New Roman" w:eastAsia="Times New Roman" w:hAnsi="Times New Roman" w:cs="Times New Roman"/>
                <w:color w:val="000000"/>
                <w:sz w:val="24"/>
                <w:szCs w:val="24"/>
              </w:rPr>
            </w:pPr>
          </w:p>
        </w:tc>
        <w:tc>
          <w:tcPr>
            <w:tcW w:w="222" w:type="dxa"/>
            <w:noWrap/>
            <w:vAlign w:val="bottom"/>
          </w:tcPr>
          <w:p w14:paraId="0C90BB51" w14:textId="77777777" w:rsidR="00A72BD1" w:rsidRDefault="00A72BD1" w:rsidP="00A72BD1">
            <w:pPr>
              <w:rPr>
                <w:rFonts w:ascii="Times New Roman" w:eastAsia="Times New Roman" w:hAnsi="Times New Roman" w:cs="Times New Roman"/>
                <w:color w:val="000000"/>
                <w:sz w:val="24"/>
                <w:szCs w:val="24"/>
              </w:rPr>
            </w:pPr>
          </w:p>
        </w:tc>
        <w:tc>
          <w:tcPr>
            <w:tcW w:w="1960" w:type="dxa"/>
            <w:noWrap/>
            <w:vAlign w:val="center"/>
          </w:tcPr>
          <w:p w14:paraId="276EB724" w14:textId="77777777" w:rsidR="00A72BD1" w:rsidRDefault="00A72BD1" w:rsidP="00A72BD1">
            <w:pPr>
              <w:spacing w:after="0" w:line="240" w:lineRule="auto"/>
              <w:jc w:val="center"/>
              <w:rPr>
                <w:rFonts w:ascii="Times New Roman" w:eastAsia="Times New Roman" w:hAnsi="Times New Roman" w:cs="Times New Roman"/>
                <w:color w:val="000000"/>
                <w:sz w:val="24"/>
                <w:szCs w:val="24"/>
              </w:rPr>
            </w:pPr>
          </w:p>
        </w:tc>
      </w:tr>
      <w:tr w:rsidR="00A72BD1" w14:paraId="7488A080" w14:textId="77777777" w:rsidTr="00A72BD1">
        <w:trPr>
          <w:trHeight w:val="402"/>
          <w:jc w:val="center"/>
        </w:trPr>
        <w:tc>
          <w:tcPr>
            <w:tcW w:w="4620" w:type="dxa"/>
            <w:noWrap/>
            <w:vAlign w:val="center"/>
          </w:tcPr>
          <w:p w14:paraId="6212FDC8" w14:textId="2488C435" w:rsidR="00A72BD1" w:rsidRDefault="00A72BD1" w:rsidP="00196E0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Balanced sample:</w:t>
            </w:r>
          </w:p>
        </w:tc>
        <w:tc>
          <w:tcPr>
            <w:tcW w:w="222" w:type="dxa"/>
            <w:noWrap/>
            <w:vAlign w:val="bottom"/>
          </w:tcPr>
          <w:p w14:paraId="0D9ED92C" w14:textId="77777777" w:rsidR="00A72BD1" w:rsidRDefault="00A72BD1" w:rsidP="00A72BD1">
            <w:pPr>
              <w:rPr>
                <w:rFonts w:ascii="Times New Roman" w:eastAsia="Times New Roman" w:hAnsi="Times New Roman" w:cs="Times New Roman"/>
                <w:color w:val="000000"/>
                <w:sz w:val="24"/>
                <w:szCs w:val="24"/>
              </w:rPr>
            </w:pPr>
          </w:p>
        </w:tc>
        <w:tc>
          <w:tcPr>
            <w:tcW w:w="1960" w:type="dxa"/>
            <w:noWrap/>
            <w:vAlign w:val="center"/>
          </w:tcPr>
          <w:p w14:paraId="21FE1599" w14:textId="7D4A039A" w:rsidR="00A72BD1" w:rsidDel="004B726A" w:rsidRDefault="00196E01" w:rsidP="00A72BD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w:t>
            </w:r>
          </w:p>
        </w:tc>
        <w:tc>
          <w:tcPr>
            <w:tcW w:w="222" w:type="dxa"/>
            <w:noWrap/>
            <w:vAlign w:val="bottom"/>
          </w:tcPr>
          <w:p w14:paraId="2B8F534B" w14:textId="77777777" w:rsidR="00A72BD1" w:rsidRDefault="00A72BD1" w:rsidP="00A72BD1">
            <w:pPr>
              <w:rPr>
                <w:rFonts w:ascii="Times New Roman" w:eastAsia="Times New Roman" w:hAnsi="Times New Roman" w:cs="Times New Roman"/>
                <w:color w:val="000000"/>
                <w:sz w:val="24"/>
                <w:szCs w:val="24"/>
              </w:rPr>
            </w:pPr>
          </w:p>
        </w:tc>
        <w:tc>
          <w:tcPr>
            <w:tcW w:w="1960" w:type="dxa"/>
            <w:noWrap/>
            <w:vAlign w:val="center"/>
          </w:tcPr>
          <w:p w14:paraId="347B2D61" w14:textId="333D3DFE" w:rsidR="00A72BD1" w:rsidRDefault="00196E01" w:rsidP="00A72BD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A72BD1" w14:paraId="485BEFE1" w14:textId="77777777" w:rsidTr="00A72BD1">
        <w:trPr>
          <w:trHeight w:val="402"/>
          <w:jc w:val="center"/>
        </w:trPr>
        <w:tc>
          <w:tcPr>
            <w:tcW w:w="4620" w:type="dxa"/>
            <w:noWrap/>
            <w:vAlign w:val="center"/>
          </w:tcPr>
          <w:p w14:paraId="38824C88" w14:textId="56221804" w:rsidR="00A72BD1" w:rsidRPr="00CB0943" w:rsidRDefault="00A72BD1" w:rsidP="00A72BD1">
            <w:pPr>
              <w:spacing w:after="0" w:line="240" w:lineRule="auto"/>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 xml:space="preserve">    Switchers</w:t>
            </w:r>
            <w:r w:rsidR="00FD7DEE">
              <w:rPr>
                <w:rFonts w:ascii="Times New Roman" w:eastAsia="Times New Roman" w:hAnsi="Times New Roman" w:cs="Times New Roman"/>
                <w:color w:val="000000"/>
                <w:sz w:val="24"/>
                <w:szCs w:val="24"/>
                <w:vertAlign w:val="superscript"/>
              </w:rPr>
              <w:t>b</w:t>
            </w:r>
          </w:p>
        </w:tc>
        <w:tc>
          <w:tcPr>
            <w:tcW w:w="222" w:type="dxa"/>
            <w:noWrap/>
            <w:vAlign w:val="bottom"/>
          </w:tcPr>
          <w:p w14:paraId="79BEC4F6" w14:textId="77777777" w:rsidR="00A72BD1" w:rsidRDefault="00A72BD1" w:rsidP="00A72BD1">
            <w:pPr>
              <w:rPr>
                <w:rFonts w:ascii="Times New Roman" w:eastAsia="Times New Roman" w:hAnsi="Times New Roman" w:cs="Times New Roman"/>
                <w:color w:val="000000"/>
                <w:sz w:val="24"/>
                <w:szCs w:val="24"/>
              </w:rPr>
            </w:pPr>
          </w:p>
        </w:tc>
        <w:tc>
          <w:tcPr>
            <w:tcW w:w="1960" w:type="dxa"/>
            <w:noWrap/>
            <w:vAlign w:val="center"/>
          </w:tcPr>
          <w:p w14:paraId="2696FD1E" w14:textId="77777777" w:rsidR="00A72BD1" w:rsidDel="004B726A" w:rsidRDefault="00A72BD1" w:rsidP="00A72BD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656</w:t>
            </w:r>
          </w:p>
        </w:tc>
        <w:tc>
          <w:tcPr>
            <w:tcW w:w="222" w:type="dxa"/>
            <w:noWrap/>
            <w:vAlign w:val="bottom"/>
          </w:tcPr>
          <w:p w14:paraId="0979232C" w14:textId="77777777" w:rsidR="00A72BD1" w:rsidRDefault="00A72BD1" w:rsidP="00A72BD1">
            <w:pPr>
              <w:rPr>
                <w:rFonts w:ascii="Times New Roman" w:eastAsia="Times New Roman" w:hAnsi="Times New Roman" w:cs="Times New Roman"/>
                <w:color w:val="000000"/>
                <w:sz w:val="24"/>
                <w:szCs w:val="24"/>
              </w:rPr>
            </w:pPr>
          </w:p>
        </w:tc>
        <w:tc>
          <w:tcPr>
            <w:tcW w:w="1960" w:type="dxa"/>
            <w:noWrap/>
            <w:vAlign w:val="center"/>
          </w:tcPr>
          <w:p w14:paraId="0746F61A" w14:textId="77777777" w:rsidR="00A72BD1" w:rsidRDefault="00A72BD1" w:rsidP="00A72BD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p>
        </w:tc>
      </w:tr>
      <w:tr w:rsidR="00A72BD1" w14:paraId="1C6E36A6" w14:textId="77777777" w:rsidTr="00A72BD1">
        <w:trPr>
          <w:trHeight w:val="402"/>
          <w:jc w:val="center"/>
        </w:trPr>
        <w:tc>
          <w:tcPr>
            <w:tcW w:w="4620" w:type="dxa"/>
            <w:noWrap/>
            <w:vAlign w:val="center"/>
          </w:tcPr>
          <w:p w14:paraId="0A0E5991" w14:textId="750024B2" w:rsidR="00A72BD1" w:rsidRPr="00CB0943" w:rsidRDefault="00A72BD1" w:rsidP="00A72BD1">
            <w:pPr>
              <w:spacing w:after="0" w:line="240" w:lineRule="auto"/>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 xml:space="preserve">    Capitalizers</w:t>
            </w:r>
            <w:r w:rsidR="00FD7DEE">
              <w:rPr>
                <w:rFonts w:ascii="Times New Roman" w:eastAsia="Times New Roman" w:hAnsi="Times New Roman" w:cs="Times New Roman"/>
                <w:color w:val="000000"/>
                <w:sz w:val="24"/>
                <w:szCs w:val="24"/>
                <w:vertAlign w:val="superscript"/>
              </w:rPr>
              <w:t>b</w:t>
            </w:r>
          </w:p>
        </w:tc>
        <w:tc>
          <w:tcPr>
            <w:tcW w:w="222" w:type="dxa"/>
            <w:noWrap/>
            <w:vAlign w:val="bottom"/>
          </w:tcPr>
          <w:p w14:paraId="638EC672" w14:textId="77777777" w:rsidR="00A72BD1" w:rsidRDefault="00A72BD1" w:rsidP="00A72BD1">
            <w:pPr>
              <w:rPr>
                <w:rFonts w:ascii="Times New Roman" w:eastAsia="Times New Roman" w:hAnsi="Times New Roman" w:cs="Times New Roman"/>
                <w:color w:val="000000"/>
                <w:sz w:val="24"/>
                <w:szCs w:val="24"/>
              </w:rPr>
            </w:pPr>
          </w:p>
        </w:tc>
        <w:tc>
          <w:tcPr>
            <w:tcW w:w="1960" w:type="dxa"/>
            <w:noWrap/>
            <w:vAlign w:val="center"/>
          </w:tcPr>
          <w:p w14:paraId="775FFB25" w14:textId="77777777" w:rsidR="00A72BD1" w:rsidDel="004B726A" w:rsidRDefault="00A72BD1" w:rsidP="00A72BD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w:t>
            </w:r>
          </w:p>
        </w:tc>
        <w:tc>
          <w:tcPr>
            <w:tcW w:w="222" w:type="dxa"/>
            <w:noWrap/>
            <w:vAlign w:val="bottom"/>
          </w:tcPr>
          <w:p w14:paraId="3832C4AF" w14:textId="77777777" w:rsidR="00A72BD1" w:rsidRDefault="00A72BD1" w:rsidP="00A72BD1">
            <w:pPr>
              <w:rPr>
                <w:rFonts w:ascii="Times New Roman" w:eastAsia="Times New Roman" w:hAnsi="Times New Roman" w:cs="Times New Roman"/>
                <w:color w:val="000000"/>
                <w:sz w:val="24"/>
                <w:szCs w:val="24"/>
              </w:rPr>
            </w:pPr>
          </w:p>
        </w:tc>
        <w:tc>
          <w:tcPr>
            <w:tcW w:w="1960" w:type="dxa"/>
            <w:noWrap/>
            <w:vAlign w:val="center"/>
          </w:tcPr>
          <w:p w14:paraId="0EB04C5D" w14:textId="77777777" w:rsidR="00A72BD1" w:rsidRDefault="00A72BD1" w:rsidP="00A72BD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r>
    </w:tbl>
    <w:p w14:paraId="5D42943B" w14:textId="77777777" w:rsidR="003808C1" w:rsidRDefault="003808C1" w:rsidP="00985B47">
      <w:pPr>
        <w:pBdr>
          <w:bottom w:val="single" w:sz="12" w:space="1" w:color="auto"/>
        </w:pBdr>
        <w:contextualSpacing/>
        <w:rPr>
          <w:rFonts w:ascii="Times New Roman" w:hAnsi="Times New Roman" w:cs="Times New Roman"/>
          <w:sz w:val="24"/>
          <w:szCs w:val="24"/>
        </w:rPr>
      </w:pPr>
    </w:p>
    <w:p w14:paraId="5E3D7B1E" w14:textId="24EBF77E" w:rsidR="003808C1" w:rsidRDefault="003808C1" w:rsidP="00CB0943">
      <w:pPr>
        <w:contextualSpacing/>
        <w:jc w:val="both"/>
        <w:rPr>
          <w:rFonts w:ascii="Times New Roman" w:hAnsi="Times New Roman" w:cs="Times New Roman"/>
          <w:sz w:val="24"/>
          <w:szCs w:val="24"/>
        </w:rPr>
      </w:pPr>
      <w:r>
        <w:rPr>
          <w:rFonts w:ascii="Times New Roman" w:hAnsi="Times New Roman" w:cs="Times New Roman"/>
          <w:sz w:val="24"/>
          <w:szCs w:val="24"/>
          <w:vertAlign w:val="superscript"/>
        </w:rPr>
        <w:t>a</w:t>
      </w:r>
      <w:r>
        <w:rPr>
          <w:rFonts w:ascii="Times New Roman" w:hAnsi="Times New Roman" w:cs="Times New Roman"/>
          <w:sz w:val="24"/>
          <w:szCs w:val="24"/>
        </w:rPr>
        <w:t xml:space="preserve">The sample consists of </w:t>
      </w:r>
      <w:r w:rsidR="00550236">
        <w:rPr>
          <w:rFonts w:ascii="Times New Roman" w:hAnsi="Times New Roman" w:cs="Times New Roman"/>
          <w:sz w:val="24"/>
          <w:szCs w:val="24"/>
        </w:rPr>
        <w:t>eight</w:t>
      </w:r>
      <w:r>
        <w:rPr>
          <w:rFonts w:ascii="Times New Roman" w:hAnsi="Times New Roman" w:cs="Times New Roman"/>
          <w:sz w:val="24"/>
          <w:szCs w:val="24"/>
        </w:rPr>
        <w:t xml:space="preserve"> firm-year observations per firm of UK firms who disclosed either a</w:t>
      </w:r>
      <w:r w:rsidR="005F7861">
        <w:rPr>
          <w:rFonts w:ascii="Times New Roman" w:hAnsi="Times New Roman" w:cs="Times New Roman"/>
          <w:sz w:val="24"/>
          <w:szCs w:val="24"/>
        </w:rPr>
        <w:t>n</w:t>
      </w:r>
      <w:r>
        <w:rPr>
          <w:rFonts w:ascii="Times New Roman" w:hAnsi="Times New Roman" w:cs="Times New Roman"/>
          <w:sz w:val="24"/>
          <w:szCs w:val="24"/>
        </w:rPr>
        <w:t xml:space="preserve"> R&amp;D asset or R&amp;D expense during the period 200</w:t>
      </w:r>
      <w:r w:rsidR="00B060EB">
        <w:rPr>
          <w:rFonts w:ascii="Times New Roman" w:hAnsi="Times New Roman" w:cs="Times New Roman"/>
          <w:sz w:val="24"/>
          <w:szCs w:val="24"/>
        </w:rPr>
        <w:t>1</w:t>
      </w:r>
      <w:r>
        <w:rPr>
          <w:rFonts w:ascii="Times New Roman" w:hAnsi="Times New Roman" w:cs="Times New Roman"/>
          <w:sz w:val="24"/>
          <w:szCs w:val="24"/>
        </w:rPr>
        <w:t>-201</w:t>
      </w:r>
      <w:r w:rsidR="00550236">
        <w:rPr>
          <w:rFonts w:ascii="Times New Roman" w:hAnsi="Times New Roman" w:cs="Times New Roman"/>
          <w:sz w:val="24"/>
          <w:szCs w:val="24"/>
        </w:rPr>
        <w:t>2</w:t>
      </w:r>
      <w:r>
        <w:rPr>
          <w:rFonts w:ascii="Times New Roman" w:hAnsi="Times New Roman" w:cs="Times New Roman"/>
          <w:sz w:val="24"/>
          <w:szCs w:val="24"/>
        </w:rPr>
        <w:t>. To obtain our ba</w:t>
      </w:r>
      <w:r w:rsidR="00FD7DEE">
        <w:rPr>
          <w:rFonts w:ascii="Times New Roman" w:hAnsi="Times New Roman" w:cs="Times New Roman"/>
          <w:sz w:val="24"/>
          <w:szCs w:val="24"/>
        </w:rPr>
        <w:t>lanced</w:t>
      </w:r>
      <w:r>
        <w:rPr>
          <w:rFonts w:ascii="Times New Roman" w:hAnsi="Times New Roman" w:cs="Times New Roman"/>
          <w:sz w:val="24"/>
          <w:szCs w:val="24"/>
        </w:rPr>
        <w:t xml:space="preserve"> sample, we remove inappropriate observations and require lagged R&amp;D and other accounting and financial data.  </w:t>
      </w:r>
    </w:p>
    <w:p w14:paraId="77A90603" w14:textId="0B826F0C" w:rsidR="003808C1" w:rsidRDefault="003808C1" w:rsidP="00CB0943">
      <w:pPr>
        <w:contextualSpacing/>
        <w:jc w:val="both"/>
        <w:rPr>
          <w:rFonts w:ascii="Times New Roman" w:hAnsi="Times New Roman" w:cs="Times New Roman"/>
          <w:sz w:val="24"/>
          <w:szCs w:val="24"/>
        </w:rPr>
      </w:pPr>
      <w:r>
        <w:rPr>
          <w:rFonts w:ascii="Times New Roman" w:hAnsi="Times New Roman" w:cs="Times New Roman"/>
          <w:sz w:val="24"/>
          <w:szCs w:val="24"/>
          <w:vertAlign w:val="superscript"/>
        </w:rPr>
        <w:t>b</w:t>
      </w:r>
      <w:r>
        <w:rPr>
          <w:rFonts w:ascii="Times New Roman" w:hAnsi="Times New Roman" w:cs="Times New Roman"/>
          <w:sz w:val="24"/>
          <w:szCs w:val="24"/>
        </w:rPr>
        <w:t xml:space="preserve">Switchers are firms that switched from expensing R&amp;D under UK GAAP to capitalizing R&amp;D under IFRS. Capitalizers are firms that </w:t>
      </w:r>
      <w:r w:rsidR="00AA5F43">
        <w:rPr>
          <w:rFonts w:ascii="Times New Roman" w:hAnsi="Times New Roman" w:cs="Times New Roman"/>
          <w:sz w:val="24"/>
          <w:szCs w:val="24"/>
        </w:rPr>
        <w:t xml:space="preserve">always </w:t>
      </w:r>
      <w:r>
        <w:rPr>
          <w:rFonts w:ascii="Times New Roman" w:hAnsi="Times New Roman" w:cs="Times New Roman"/>
          <w:sz w:val="24"/>
          <w:szCs w:val="24"/>
        </w:rPr>
        <w:t>capitalized R&amp;D under UK GAAP and IFRS.</w:t>
      </w:r>
    </w:p>
    <w:p w14:paraId="252BFC60" w14:textId="77777777" w:rsidR="00A72BD1" w:rsidRDefault="00A72BD1" w:rsidP="00CB0943">
      <w:pPr>
        <w:contextualSpacing/>
        <w:jc w:val="both"/>
        <w:rPr>
          <w:rFonts w:ascii="Times New Roman" w:hAnsi="Times New Roman" w:cs="Times New Roman"/>
          <w:sz w:val="24"/>
          <w:szCs w:val="24"/>
        </w:rPr>
      </w:pPr>
    </w:p>
    <w:bookmarkEnd w:id="8"/>
    <w:p w14:paraId="7E50DAE2" w14:textId="77777777" w:rsidR="00A72BD1" w:rsidRDefault="00A72BD1" w:rsidP="00985B47">
      <w:pPr>
        <w:rPr>
          <w:rFonts w:ascii="Times New Roman" w:hAnsi="Times New Roman" w:cs="Times New Roman"/>
          <w:sz w:val="24"/>
          <w:szCs w:val="24"/>
        </w:rPr>
      </w:pPr>
    </w:p>
    <w:p w14:paraId="2A58924F" w14:textId="77777777" w:rsidR="003808C1" w:rsidRDefault="003808C1" w:rsidP="00985B47">
      <w:pPr>
        <w:rPr>
          <w:rFonts w:ascii="Times New Roman" w:hAnsi="Times New Roman" w:cs="Times New Roman"/>
          <w:sz w:val="24"/>
          <w:szCs w:val="24"/>
        </w:rPr>
      </w:pPr>
      <w:r>
        <w:rPr>
          <w:rFonts w:ascii="Times New Roman" w:hAnsi="Times New Roman" w:cs="Times New Roman"/>
          <w:sz w:val="24"/>
          <w:szCs w:val="24"/>
        </w:rPr>
        <w:br w:type="page"/>
      </w:r>
    </w:p>
    <w:p w14:paraId="22F1A5DC" w14:textId="77777777" w:rsidR="003808C1" w:rsidRDefault="003808C1" w:rsidP="00985B47">
      <w:pPr>
        <w:spacing w:line="240" w:lineRule="auto"/>
        <w:contextualSpacing/>
        <w:jc w:val="center"/>
        <w:outlineLvl w:val="0"/>
        <w:rPr>
          <w:rFonts w:ascii="Times New Roman" w:hAnsi="Times New Roman" w:cs="Times New Roman"/>
          <w:b/>
          <w:bCs/>
          <w:sz w:val="24"/>
          <w:szCs w:val="24"/>
        </w:rPr>
      </w:pPr>
      <w:bookmarkStart w:id="9" w:name="_Hlk25923680"/>
      <w:r>
        <w:rPr>
          <w:rFonts w:ascii="Times New Roman" w:hAnsi="Times New Roman" w:cs="Times New Roman"/>
          <w:b/>
          <w:bCs/>
          <w:sz w:val="24"/>
          <w:szCs w:val="24"/>
        </w:rPr>
        <w:t>Table 2</w:t>
      </w:r>
    </w:p>
    <w:p w14:paraId="2B74B580" w14:textId="77777777" w:rsidR="003808C1" w:rsidRDefault="003808C1" w:rsidP="00985B47">
      <w:pPr>
        <w:pBdr>
          <w:bottom w:val="single" w:sz="12" w:space="1" w:color="auto"/>
        </w:pBdr>
        <w:spacing w:line="240" w:lineRule="auto"/>
        <w:contextualSpacing/>
        <w:jc w:val="center"/>
        <w:outlineLvl w:val="0"/>
        <w:rPr>
          <w:rFonts w:ascii="Times New Roman" w:hAnsi="Times New Roman" w:cs="Times New Roman"/>
          <w:sz w:val="24"/>
          <w:szCs w:val="24"/>
          <w:vertAlign w:val="superscript"/>
        </w:rPr>
      </w:pPr>
      <w:r>
        <w:rPr>
          <w:rFonts w:ascii="Times New Roman" w:hAnsi="Times New Roman" w:cs="Times New Roman"/>
          <w:b/>
          <w:bCs/>
          <w:sz w:val="24"/>
          <w:szCs w:val="24"/>
        </w:rPr>
        <w:t>Industry Membership</w:t>
      </w:r>
      <w:r>
        <w:rPr>
          <w:rFonts w:ascii="Times New Roman" w:hAnsi="Times New Roman" w:cs="Times New Roman"/>
          <w:b/>
          <w:bCs/>
          <w:sz w:val="24"/>
          <w:szCs w:val="24"/>
          <w:vertAlign w:val="superscript"/>
        </w:rPr>
        <w:t>a</w:t>
      </w:r>
    </w:p>
    <w:p w14:paraId="3763BB67" w14:textId="77777777" w:rsidR="003808C1" w:rsidRDefault="003808C1" w:rsidP="00985B47">
      <w:pPr>
        <w:rPr>
          <w:rFonts w:ascii="Times New Roman" w:hAnsi="Times New Roman" w:cs="Times New Roman"/>
          <w:sz w:val="24"/>
          <w:szCs w:val="24"/>
        </w:rPr>
      </w:pPr>
    </w:p>
    <w:tbl>
      <w:tblPr>
        <w:tblW w:w="6060" w:type="dxa"/>
        <w:jc w:val="center"/>
        <w:tblLook w:val="04A0" w:firstRow="1" w:lastRow="0" w:firstColumn="1" w:lastColumn="0" w:noHBand="0" w:noVBand="1"/>
      </w:tblPr>
      <w:tblGrid>
        <w:gridCol w:w="3100"/>
        <w:gridCol w:w="1228"/>
        <w:gridCol w:w="276"/>
        <w:gridCol w:w="1456"/>
      </w:tblGrid>
      <w:tr w:rsidR="00A72BD1" w:rsidRPr="00CC0845" w14:paraId="66FEE701" w14:textId="77777777" w:rsidTr="00A72BD1">
        <w:trPr>
          <w:trHeight w:val="330"/>
          <w:jc w:val="center"/>
        </w:trPr>
        <w:tc>
          <w:tcPr>
            <w:tcW w:w="3100" w:type="dxa"/>
            <w:tcBorders>
              <w:top w:val="nil"/>
              <w:left w:val="nil"/>
              <w:bottom w:val="single" w:sz="8" w:space="0" w:color="auto"/>
              <w:right w:val="nil"/>
            </w:tcBorders>
            <w:shd w:val="clear" w:color="auto" w:fill="auto"/>
            <w:noWrap/>
            <w:vAlign w:val="center"/>
            <w:hideMark/>
          </w:tcPr>
          <w:p w14:paraId="39CE43FA" w14:textId="77777777" w:rsidR="00A72BD1" w:rsidRPr="00CC0845" w:rsidRDefault="00A72BD1" w:rsidP="00A72BD1">
            <w:pPr>
              <w:spacing w:after="0" w:line="240" w:lineRule="auto"/>
              <w:jc w:val="center"/>
              <w:rPr>
                <w:rFonts w:ascii="Times New Roman" w:eastAsia="Times New Roman" w:hAnsi="Times New Roman" w:cs="Times New Roman"/>
                <w:b/>
                <w:bCs/>
                <w:color w:val="000000"/>
                <w:sz w:val="24"/>
                <w:szCs w:val="24"/>
                <w:lang w:val="en-GB" w:eastAsia="en-GB"/>
              </w:rPr>
            </w:pPr>
            <w:r w:rsidRPr="00CC0845">
              <w:rPr>
                <w:rFonts w:ascii="Times New Roman" w:eastAsia="Times New Roman" w:hAnsi="Times New Roman" w:cs="Times New Roman"/>
                <w:b/>
                <w:bCs/>
                <w:color w:val="000000"/>
                <w:sz w:val="24"/>
                <w:szCs w:val="24"/>
                <w:lang w:eastAsia="en-GB"/>
              </w:rPr>
              <w:t>Industry</w:t>
            </w:r>
          </w:p>
        </w:tc>
        <w:tc>
          <w:tcPr>
            <w:tcW w:w="1340" w:type="dxa"/>
            <w:tcBorders>
              <w:top w:val="nil"/>
              <w:left w:val="nil"/>
              <w:bottom w:val="single" w:sz="8" w:space="0" w:color="auto"/>
              <w:right w:val="nil"/>
            </w:tcBorders>
            <w:shd w:val="clear" w:color="auto" w:fill="auto"/>
            <w:vAlign w:val="center"/>
            <w:hideMark/>
          </w:tcPr>
          <w:p w14:paraId="391294DA" w14:textId="77777777" w:rsidR="00A72BD1" w:rsidRPr="00CC0845" w:rsidRDefault="00A72BD1" w:rsidP="00A72BD1">
            <w:pPr>
              <w:spacing w:after="0" w:line="240" w:lineRule="auto"/>
              <w:jc w:val="center"/>
              <w:rPr>
                <w:rFonts w:ascii="Times New Roman" w:eastAsia="Times New Roman" w:hAnsi="Times New Roman" w:cs="Times New Roman"/>
                <w:b/>
                <w:bCs/>
                <w:color w:val="000000"/>
                <w:sz w:val="24"/>
                <w:szCs w:val="24"/>
                <w:lang w:val="en-GB" w:eastAsia="en-GB"/>
              </w:rPr>
            </w:pPr>
            <w:r w:rsidRPr="00CC0845">
              <w:rPr>
                <w:rFonts w:ascii="Times New Roman" w:eastAsia="Times New Roman" w:hAnsi="Times New Roman" w:cs="Times New Roman"/>
                <w:b/>
                <w:bCs/>
                <w:color w:val="000000"/>
                <w:sz w:val="24"/>
                <w:szCs w:val="24"/>
                <w:lang w:eastAsia="en-GB"/>
              </w:rPr>
              <w:t>Switchers</w:t>
            </w:r>
          </w:p>
        </w:tc>
        <w:tc>
          <w:tcPr>
            <w:tcW w:w="280" w:type="dxa"/>
            <w:tcBorders>
              <w:top w:val="nil"/>
              <w:left w:val="nil"/>
              <w:bottom w:val="single" w:sz="8" w:space="0" w:color="auto"/>
              <w:right w:val="nil"/>
            </w:tcBorders>
            <w:shd w:val="clear" w:color="auto" w:fill="auto"/>
            <w:vAlign w:val="center"/>
            <w:hideMark/>
          </w:tcPr>
          <w:p w14:paraId="18E55088" w14:textId="77777777" w:rsidR="00A72BD1" w:rsidRPr="00CC0845" w:rsidRDefault="00A72BD1" w:rsidP="00A72BD1">
            <w:pPr>
              <w:spacing w:after="0" w:line="240" w:lineRule="auto"/>
              <w:jc w:val="center"/>
              <w:rPr>
                <w:rFonts w:ascii="Times New Roman" w:eastAsia="Times New Roman" w:hAnsi="Times New Roman" w:cs="Times New Roman"/>
                <w:b/>
                <w:bCs/>
                <w:color w:val="000000"/>
                <w:sz w:val="24"/>
                <w:szCs w:val="24"/>
                <w:lang w:val="en-GB" w:eastAsia="en-GB"/>
              </w:rPr>
            </w:pPr>
            <w:r w:rsidRPr="00CC0845">
              <w:rPr>
                <w:rFonts w:ascii="Times New Roman" w:eastAsia="Times New Roman" w:hAnsi="Times New Roman" w:cs="Times New Roman"/>
                <w:b/>
                <w:bCs/>
                <w:color w:val="000000"/>
                <w:sz w:val="24"/>
                <w:szCs w:val="24"/>
                <w:lang w:val="en-GB" w:eastAsia="en-GB"/>
              </w:rPr>
              <w:t> </w:t>
            </w:r>
          </w:p>
        </w:tc>
        <w:tc>
          <w:tcPr>
            <w:tcW w:w="1340" w:type="dxa"/>
            <w:tcBorders>
              <w:top w:val="nil"/>
              <w:left w:val="nil"/>
              <w:bottom w:val="single" w:sz="8" w:space="0" w:color="auto"/>
              <w:right w:val="nil"/>
            </w:tcBorders>
            <w:shd w:val="clear" w:color="auto" w:fill="auto"/>
            <w:vAlign w:val="center"/>
            <w:hideMark/>
          </w:tcPr>
          <w:p w14:paraId="304F2303" w14:textId="77777777" w:rsidR="00A72BD1" w:rsidRPr="00CC0845" w:rsidRDefault="00A72BD1" w:rsidP="00A72BD1">
            <w:pPr>
              <w:spacing w:after="0" w:line="240" w:lineRule="auto"/>
              <w:jc w:val="center"/>
              <w:rPr>
                <w:rFonts w:ascii="Times New Roman" w:eastAsia="Times New Roman" w:hAnsi="Times New Roman" w:cs="Times New Roman"/>
                <w:b/>
                <w:bCs/>
                <w:color w:val="000000"/>
                <w:sz w:val="24"/>
                <w:szCs w:val="24"/>
                <w:lang w:val="en-GB" w:eastAsia="en-GB"/>
              </w:rPr>
            </w:pPr>
            <w:r w:rsidRPr="00CC0845">
              <w:rPr>
                <w:rFonts w:ascii="Times New Roman" w:eastAsia="Times New Roman" w:hAnsi="Times New Roman" w:cs="Times New Roman"/>
                <w:b/>
                <w:bCs/>
                <w:color w:val="000000"/>
                <w:sz w:val="24"/>
                <w:szCs w:val="24"/>
                <w:lang w:eastAsia="en-GB"/>
              </w:rPr>
              <w:t>Capitalizers</w:t>
            </w:r>
          </w:p>
        </w:tc>
      </w:tr>
      <w:tr w:rsidR="00A72BD1" w:rsidRPr="00CC0845" w14:paraId="6DE87E74" w14:textId="77777777" w:rsidTr="00A72BD1">
        <w:trPr>
          <w:trHeight w:val="240"/>
          <w:jc w:val="center"/>
        </w:trPr>
        <w:tc>
          <w:tcPr>
            <w:tcW w:w="3100" w:type="dxa"/>
            <w:tcBorders>
              <w:top w:val="nil"/>
              <w:left w:val="nil"/>
              <w:bottom w:val="nil"/>
              <w:right w:val="nil"/>
            </w:tcBorders>
            <w:shd w:val="clear" w:color="auto" w:fill="auto"/>
            <w:noWrap/>
            <w:vAlign w:val="center"/>
            <w:hideMark/>
          </w:tcPr>
          <w:p w14:paraId="5BF1050D" w14:textId="77777777" w:rsidR="00A72BD1" w:rsidRPr="00CC0845" w:rsidRDefault="00A72BD1" w:rsidP="00A72BD1">
            <w:pPr>
              <w:spacing w:after="0" w:line="240" w:lineRule="auto"/>
              <w:jc w:val="center"/>
              <w:rPr>
                <w:rFonts w:ascii="Times New Roman" w:eastAsia="Times New Roman" w:hAnsi="Times New Roman" w:cs="Times New Roman"/>
                <w:b/>
                <w:bCs/>
                <w:color w:val="000000"/>
                <w:sz w:val="24"/>
                <w:szCs w:val="24"/>
                <w:lang w:val="en-GB" w:eastAsia="en-GB"/>
              </w:rPr>
            </w:pPr>
          </w:p>
        </w:tc>
        <w:tc>
          <w:tcPr>
            <w:tcW w:w="1340" w:type="dxa"/>
            <w:tcBorders>
              <w:top w:val="nil"/>
              <w:left w:val="nil"/>
              <w:bottom w:val="nil"/>
              <w:right w:val="nil"/>
            </w:tcBorders>
            <w:shd w:val="clear" w:color="auto" w:fill="auto"/>
            <w:vAlign w:val="center"/>
            <w:hideMark/>
          </w:tcPr>
          <w:p w14:paraId="485BAEF2" w14:textId="77777777" w:rsidR="00A72BD1" w:rsidRPr="00CC0845" w:rsidRDefault="00A72BD1" w:rsidP="00A72BD1">
            <w:pPr>
              <w:spacing w:after="0" w:line="240" w:lineRule="auto"/>
              <w:jc w:val="center"/>
              <w:rPr>
                <w:rFonts w:ascii="Times New Roman" w:eastAsia="Times New Roman" w:hAnsi="Times New Roman" w:cs="Times New Roman"/>
                <w:sz w:val="24"/>
                <w:szCs w:val="24"/>
                <w:lang w:val="en-GB" w:eastAsia="en-GB"/>
              </w:rPr>
            </w:pPr>
          </w:p>
        </w:tc>
        <w:tc>
          <w:tcPr>
            <w:tcW w:w="280" w:type="dxa"/>
            <w:tcBorders>
              <w:top w:val="nil"/>
              <w:left w:val="nil"/>
              <w:bottom w:val="nil"/>
              <w:right w:val="nil"/>
            </w:tcBorders>
            <w:shd w:val="clear" w:color="auto" w:fill="auto"/>
            <w:vAlign w:val="center"/>
            <w:hideMark/>
          </w:tcPr>
          <w:p w14:paraId="005350FC" w14:textId="77777777" w:rsidR="00A72BD1" w:rsidRPr="00CC0845" w:rsidRDefault="00A72BD1" w:rsidP="00A72BD1">
            <w:pPr>
              <w:spacing w:after="0" w:line="240" w:lineRule="auto"/>
              <w:jc w:val="center"/>
              <w:rPr>
                <w:rFonts w:ascii="Times New Roman" w:eastAsia="Times New Roman" w:hAnsi="Times New Roman" w:cs="Times New Roman"/>
                <w:sz w:val="24"/>
                <w:szCs w:val="24"/>
                <w:lang w:val="en-GB" w:eastAsia="en-GB"/>
              </w:rPr>
            </w:pPr>
          </w:p>
        </w:tc>
        <w:tc>
          <w:tcPr>
            <w:tcW w:w="1340" w:type="dxa"/>
            <w:tcBorders>
              <w:top w:val="nil"/>
              <w:left w:val="nil"/>
              <w:bottom w:val="nil"/>
              <w:right w:val="nil"/>
            </w:tcBorders>
            <w:shd w:val="clear" w:color="auto" w:fill="auto"/>
            <w:vAlign w:val="center"/>
            <w:hideMark/>
          </w:tcPr>
          <w:p w14:paraId="17568993" w14:textId="77777777" w:rsidR="00A72BD1" w:rsidRPr="00CC0845" w:rsidRDefault="00A72BD1" w:rsidP="00A72BD1">
            <w:pPr>
              <w:spacing w:after="0" w:line="240" w:lineRule="auto"/>
              <w:jc w:val="center"/>
              <w:rPr>
                <w:rFonts w:ascii="Times New Roman" w:eastAsia="Times New Roman" w:hAnsi="Times New Roman" w:cs="Times New Roman"/>
                <w:sz w:val="24"/>
                <w:szCs w:val="24"/>
                <w:lang w:val="en-GB" w:eastAsia="en-GB"/>
              </w:rPr>
            </w:pPr>
          </w:p>
        </w:tc>
      </w:tr>
      <w:tr w:rsidR="00A72BD1" w:rsidRPr="00CC0845" w14:paraId="5FA70236" w14:textId="77777777" w:rsidTr="00A72BD1">
        <w:trPr>
          <w:trHeight w:val="315"/>
          <w:jc w:val="center"/>
        </w:trPr>
        <w:tc>
          <w:tcPr>
            <w:tcW w:w="3100" w:type="dxa"/>
            <w:tcBorders>
              <w:top w:val="nil"/>
              <w:left w:val="nil"/>
              <w:bottom w:val="nil"/>
              <w:right w:val="nil"/>
            </w:tcBorders>
            <w:shd w:val="clear" w:color="auto" w:fill="auto"/>
            <w:noWrap/>
            <w:vAlign w:val="center"/>
            <w:hideMark/>
          </w:tcPr>
          <w:p w14:paraId="0B481D3D" w14:textId="77777777" w:rsidR="00A72BD1" w:rsidRPr="00CC0845" w:rsidRDefault="00A72BD1" w:rsidP="00A72BD1">
            <w:pPr>
              <w:spacing w:after="0" w:line="240" w:lineRule="auto"/>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val="en-GB" w:eastAsia="en-GB"/>
              </w:rPr>
              <w:t>Chemicals</w:t>
            </w:r>
          </w:p>
        </w:tc>
        <w:tc>
          <w:tcPr>
            <w:tcW w:w="1340" w:type="dxa"/>
            <w:tcBorders>
              <w:top w:val="nil"/>
              <w:left w:val="nil"/>
              <w:bottom w:val="nil"/>
              <w:right w:val="nil"/>
            </w:tcBorders>
            <w:shd w:val="clear" w:color="auto" w:fill="auto"/>
            <w:vAlign w:val="center"/>
            <w:hideMark/>
          </w:tcPr>
          <w:p w14:paraId="689664D4"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eastAsia="en-GB"/>
              </w:rPr>
              <w:t>2</w:t>
            </w:r>
          </w:p>
        </w:tc>
        <w:tc>
          <w:tcPr>
            <w:tcW w:w="280" w:type="dxa"/>
            <w:tcBorders>
              <w:top w:val="nil"/>
              <w:left w:val="nil"/>
              <w:bottom w:val="nil"/>
              <w:right w:val="nil"/>
            </w:tcBorders>
            <w:shd w:val="clear" w:color="auto" w:fill="auto"/>
            <w:vAlign w:val="center"/>
            <w:hideMark/>
          </w:tcPr>
          <w:p w14:paraId="6CA717A4"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p>
        </w:tc>
        <w:tc>
          <w:tcPr>
            <w:tcW w:w="1340" w:type="dxa"/>
            <w:tcBorders>
              <w:top w:val="nil"/>
              <w:left w:val="nil"/>
              <w:bottom w:val="nil"/>
              <w:right w:val="nil"/>
            </w:tcBorders>
            <w:shd w:val="clear" w:color="auto" w:fill="auto"/>
            <w:vAlign w:val="center"/>
            <w:hideMark/>
          </w:tcPr>
          <w:p w14:paraId="6142EDBB"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eastAsia="en-GB"/>
              </w:rPr>
              <w:t>1</w:t>
            </w:r>
          </w:p>
        </w:tc>
      </w:tr>
      <w:tr w:rsidR="00A72BD1" w:rsidRPr="00CC0845" w14:paraId="08905A44" w14:textId="77777777" w:rsidTr="00A72BD1">
        <w:trPr>
          <w:trHeight w:val="240"/>
          <w:jc w:val="center"/>
        </w:trPr>
        <w:tc>
          <w:tcPr>
            <w:tcW w:w="3100" w:type="dxa"/>
            <w:tcBorders>
              <w:top w:val="nil"/>
              <w:left w:val="nil"/>
              <w:bottom w:val="nil"/>
              <w:right w:val="nil"/>
            </w:tcBorders>
            <w:shd w:val="clear" w:color="auto" w:fill="auto"/>
            <w:noWrap/>
            <w:vAlign w:val="center"/>
            <w:hideMark/>
          </w:tcPr>
          <w:p w14:paraId="250CC54F"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p>
        </w:tc>
        <w:tc>
          <w:tcPr>
            <w:tcW w:w="1340" w:type="dxa"/>
            <w:tcBorders>
              <w:top w:val="nil"/>
              <w:left w:val="nil"/>
              <w:bottom w:val="nil"/>
              <w:right w:val="nil"/>
            </w:tcBorders>
            <w:shd w:val="clear" w:color="auto" w:fill="auto"/>
            <w:vAlign w:val="center"/>
            <w:hideMark/>
          </w:tcPr>
          <w:p w14:paraId="75FA2C8E" w14:textId="77777777" w:rsidR="00A72BD1" w:rsidRPr="00CC0845" w:rsidRDefault="00A72BD1" w:rsidP="00A72BD1">
            <w:pPr>
              <w:spacing w:after="0" w:line="240" w:lineRule="auto"/>
              <w:rPr>
                <w:rFonts w:ascii="Times New Roman" w:eastAsia="Times New Roman" w:hAnsi="Times New Roman" w:cs="Times New Roman"/>
                <w:sz w:val="24"/>
                <w:szCs w:val="24"/>
                <w:lang w:val="en-GB" w:eastAsia="en-GB"/>
              </w:rPr>
            </w:pPr>
          </w:p>
        </w:tc>
        <w:tc>
          <w:tcPr>
            <w:tcW w:w="280" w:type="dxa"/>
            <w:tcBorders>
              <w:top w:val="nil"/>
              <w:left w:val="nil"/>
              <w:bottom w:val="nil"/>
              <w:right w:val="nil"/>
            </w:tcBorders>
            <w:shd w:val="clear" w:color="auto" w:fill="auto"/>
            <w:vAlign w:val="center"/>
            <w:hideMark/>
          </w:tcPr>
          <w:p w14:paraId="198C4105" w14:textId="77777777" w:rsidR="00A72BD1" w:rsidRPr="00CC0845" w:rsidRDefault="00A72BD1" w:rsidP="00A72BD1">
            <w:pPr>
              <w:spacing w:after="0" w:line="240" w:lineRule="auto"/>
              <w:jc w:val="center"/>
              <w:rPr>
                <w:rFonts w:ascii="Times New Roman" w:eastAsia="Times New Roman" w:hAnsi="Times New Roman" w:cs="Times New Roman"/>
                <w:sz w:val="24"/>
                <w:szCs w:val="24"/>
                <w:lang w:val="en-GB" w:eastAsia="en-GB"/>
              </w:rPr>
            </w:pPr>
          </w:p>
        </w:tc>
        <w:tc>
          <w:tcPr>
            <w:tcW w:w="1340" w:type="dxa"/>
            <w:tcBorders>
              <w:top w:val="nil"/>
              <w:left w:val="nil"/>
              <w:bottom w:val="nil"/>
              <w:right w:val="nil"/>
            </w:tcBorders>
            <w:shd w:val="clear" w:color="auto" w:fill="auto"/>
            <w:vAlign w:val="center"/>
            <w:hideMark/>
          </w:tcPr>
          <w:p w14:paraId="34A712FE" w14:textId="77777777" w:rsidR="00A72BD1" w:rsidRPr="00CC0845" w:rsidRDefault="00A72BD1" w:rsidP="00A72BD1">
            <w:pPr>
              <w:spacing w:after="0" w:line="240" w:lineRule="auto"/>
              <w:jc w:val="center"/>
              <w:rPr>
                <w:rFonts w:ascii="Times New Roman" w:eastAsia="Times New Roman" w:hAnsi="Times New Roman" w:cs="Times New Roman"/>
                <w:sz w:val="24"/>
                <w:szCs w:val="24"/>
                <w:lang w:val="en-GB" w:eastAsia="en-GB"/>
              </w:rPr>
            </w:pPr>
          </w:p>
        </w:tc>
      </w:tr>
      <w:tr w:rsidR="00A72BD1" w:rsidRPr="00CC0845" w14:paraId="17429548" w14:textId="77777777" w:rsidTr="00A72BD1">
        <w:trPr>
          <w:trHeight w:val="315"/>
          <w:jc w:val="center"/>
        </w:trPr>
        <w:tc>
          <w:tcPr>
            <w:tcW w:w="3100" w:type="dxa"/>
            <w:tcBorders>
              <w:top w:val="nil"/>
              <w:left w:val="nil"/>
              <w:bottom w:val="nil"/>
              <w:right w:val="nil"/>
            </w:tcBorders>
            <w:shd w:val="clear" w:color="auto" w:fill="auto"/>
            <w:noWrap/>
            <w:vAlign w:val="center"/>
            <w:hideMark/>
          </w:tcPr>
          <w:p w14:paraId="24E39AD4" w14:textId="77777777" w:rsidR="00A72BD1" w:rsidRPr="00CC0845" w:rsidRDefault="00A72BD1" w:rsidP="00A72BD1">
            <w:pPr>
              <w:spacing w:after="0" w:line="240" w:lineRule="auto"/>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val="en-GB" w:eastAsia="en-GB"/>
              </w:rPr>
              <w:t>Construction &amp; Materials</w:t>
            </w:r>
          </w:p>
        </w:tc>
        <w:tc>
          <w:tcPr>
            <w:tcW w:w="1340" w:type="dxa"/>
            <w:tcBorders>
              <w:top w:val="nil"/>
              <w:left w:val="nil"/>
              <w:bottom w:val="nil"/>
              <w:right w:val="nil"/>
            </w:tcBorders>
            <w:shd w:val="clear" w:color="auto" w:fill="auto"/>
            <w:vAlign w:val="center"/>
            <w:hideMark/>
          </w:tcPr>
          <w:p w14:paraId="4AB76C5D"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eastAsia="en-GB"/>
              </w:rPr>
              <w:t>2</w:t>
            </w:r>
          </w:p>
        </w:tc>
        <w:tc>
          <w:tcPr>
            <w:tcW w:w="280" w:type="dxa"/>
            <w:tcBorders>
              <w:top w:val="nil"/>
              <w:left w:val="nil"/>
              <w:bottom w:val="nil"/>
              <w:right w:val="nil"/>
            </w:tcBorders>
            <w:shd w:val="clear" w:color="auto" w:fill="auto"/>
            <w:vAlign w:val="center"/>
            <w:hideMark/>
          </w:tcPr>
          <w:p w14:paraId="79C51235"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p>
        </w:tc>
        <w:tc>
          <w:tcPr>
            <w:tcW w:w="1340" w:type="dxa"/>
            <w:tcBorders>
              <w:top w:val="nil"/>
              <w:left w:val="nil"/>
              <w:bottom w:val="nil"/>
              <w:right w:val="nil"/>
            </w:tcBorders>
            <w:shd w:val="clear" w:color="auto" w:fill="auto"/>
            <w:vAlign w:val="center"/>
            <w:hideMark/>
          </w:tcPr>
          <w:p w14:paraId="18588713"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eastAsia="en-GB"/>
              </w:rPr>
              <w:t>1</w:t>
            </w:r>
          </w:p>
        </w:tc>
      </w:tr>
      <w:tr w:rsidR="00A72BD1" w:rsidRPr="00CC0845" w14:paraId="55326E51" w14:textId="77777777" w:rsidTr="00A72BD1">
        <w:trPr>
          <w:trHeight w:val="240"/>
          <w:jc w:val="center"/>
        </w:trPr>
        <w:tc>
          <w:tcPr>
            <w:tcW w:w="3100" w:type="dxa"/>
            <w:tcBorders>
              <w:top w:val="nil"/>
              <w:left w:val="nil"/>
              <w:bottom w:val="nil"/>
              <w:right w:val="nil"/>
            </w:tcBorders>
            <w:shd w:val="clear" w:color="auto" w:fill="auto"/>
            <w:noWrap/>
            <w:vAlign w:val="center"/>
            <w:hideMark/>
          </w:tcPr>
          <w:p w14:paraId="7065B987"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p>
        </w:tc>
        <w:tc>
          <w:tcPr>
            <w:tcW w:w="1340" w:type="dxa"/>
            <w:tcBorders>
              <w:top w:val="nil"/>
              <w:left w:val="nil"/>
              <w:bottom w:val="nil"/>
              <w:right w:val="nil"/>
            </w:tcBorders>
            <w:shd w:val="clear" w:color="auto" w:fill="auto"/>
            <w:vAlign w:val="center"/>
            <w:hideMark/>
          </w:tcPr>
          <w:p w14:paraId="098B7019" w14:textId="77777777" w:rsidR="00A72BD1" w:rsidRPr="00CC0845" w:rsidRDefault="00A72BD1" w:rsidP="00A72BD1">
            <w:pPr>
              <w:spacing w:after="0" w:line="240" w:lineRule="auto"/>
              <w:rPr>
                <w:rFonts w:ascii="Times New Roman" w:eastAsia="Times New Roman" w:hAnsi="Times New Roman" w:cs="Times New Roman"/>
                <w:sz w:val="24"/>
                <w:szCs w:val="24"/>
                <w:lang w:val="en-GB" w:eastAsia="en-GB"/>
              </w:rPr>
            </w:pPr>
          </w:p>
        </w:tc>
        <w:tc>
          <w:tcPr>
            <w:tcW w:w="280" w:type="dxa"/>
            <w:tcBorders>
              <w:top w:val="nil"/>
              <w:left w:val="nil"/>
              <w:bottom w:val="nil"/>
              <w:right w:val="nil"/>
            </w:tcBorders>
            <w:shd w:val="clear" w:color="auto" w:fill="auto"/>
            <w:vAlign w:val="center"/>
            <w:hideMark/>
          </w:tcPr>
          <w:p w14:paraId="455832E4" w14:textId="77777777" w:rsidR="00A72BD1" w:rsidRPr="00CC0845" w:rsidRDefault="00A72BD1" w:rsidP="00A72BD1">
            <w:pPr>
              <w:spacing w:after="0" w:line="240" w:lineRule="auto"/>
              <w:jc w:val="center"/>
              <w:rPr>
                <w:rFonts w:ascii="Times New Roman" w:eastAsia="Times New Roman" w:hAnsi="Times New Roman" w:cs="Times New Roman"/>
                <w:sz w:val="24"/>
                <w:szCs w:val="24"/>
                <w:lang w:val="en-GB" w:eastAsia="en-GB"/>
              </w:rPr>
            </w:pPr>
          </w:p>
        </w:tc>
        <w:tc>
          <w:tcPr>
            <w:tcW w:w="1340" w:type="dxa"/>
            <w:tcBorders>
              <w:top w:val="nil"/>
              <w:left w:val="nil"/>
              <w:bottom w:val="nil"/>
              <w:right w:val="nil"/>
            </w:tcBorders>
            <w:shd w:val="clear" w:color="auto" w:fill="auto"/>
            <w:vAlign w:val="center"/>
            <w:hideMark/>
          </w:tcPr>
          <w:p w14:paraId="63A53D6D" w14:textId="77777777" w:rsidR="00A72BD1" w:rsidRPr="00CC0845" w:rsidRDefault="00A72BD1" w:rsidP="00A72BD1">
            <w:pPr>
              <w:spacing w:after="0" w:line="240" w:lineRule="auto"/>
              <w:jc w:val="center"/>
              <w:rPr>
                <w:rFonts w:ascii="Times New Roman" w:eastAsia="Times New Roman" w:hAnsi="Times New Roman" w:cs="Times New Roman"/>
                <w:sz w:val="24"/>
                <w:szCs w:val="24"/>
                <w:lang w:val="en-GB" w:eastAsia="en-GB"/>
              </w:rPr>
            </w:pPr>
          </w:p>
        </w:tc>
      </w:tr>
      <w:tr w:rsidR="00A72BD1" w:rsidRPr="00CC0845" w14:paraId="56AE655F" w14:textId="77777777" w:rsidTr="00A72BD1">
        <w:trPr>
          <w:trHeight w:val="315"/>
          <w:jc w:val="center"/>
        </w:trPr>
        <w:tc>
          <w:tcPr>
            <w:tcW w:w="3100" w:type="dxa"/>
            <w:tcBorders>
              <w:top w:val="nil"/>
              <w:left w:val="nil"/>
              <w:bottom w:val="nil"/>
              <w:right w:val="nil"/>
            </w:tcBorders>
            <w:shd w:val="clear" w:color="auto" w:fill="auto"/>
            <w:noWrap/>
            <w:vAlign w:val="center"/>
            <w:hideMark/>
          </w:tcPr>
          <w:p w14:paraId="0ABEEC9A" w14:textId="77777777" w:rsidR="00A72BD1" w:rsidRPr="00CC0845" w:rsidRDefault="00A72BD1" w:rsidP="00A72BD1">
            <w:pPr>
              <w:spacing w:after="0" w:line="240" w:lineRule="auto"/>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eastAsia="en-GB"/>
              </w:rPr>
              <w:t>Financial Services</w:t>
            </w:r>
          </w:p>
        </w:tc>
        <w:tc>
          <w:tcPr>
            <w:tcW w:w="1340" w:type="dxa"/>
            <w:tcBorders>
              <w:top w:val="nil"/>
              <w:left w:val="nil"/>
              <w:bottom w:val="nil"/>
              <w:right w:val="nil"/>
            </w:tcBorders>
            <w:shd w:val="clear" w:color="auto" w:fill="auto"/>
            <w:vAlign w:val="center"/>
            <w:hideMark/>
          </w:tcPr>
          <w:p w14:paraId="598774E2"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eastAsia="en-GB"/>
              </w:rPr>
              <w:t>0</w:t>
            </w:r>
          </w:p>
        </w:tc>
        <w:tc>
          <w:tcPr>
            <w:tcW w:w="280" w:type="dxa"/>
            <w:tcBorders>
              <w:top w:val="nil"/>
              <w:left w:val="nil"/>
              <w:bottom w:val="nil"/>
              <w:right w:val="nil"/>
            </w:tcBorders>
            <w:shd w:val="clear" w:color="auto" w:fill="auto"/>
            <w:vAlign w:val="center"/>
            <w:hideMark/>
          </w:tcPr>
          <w:p w14:paraId="3C9BF0FF"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p>
        </w:tc>
        <w:tc>
          <w:tcPr>
            <w:tcW w:w="1340" w:type="dxa"/>
            <w:tcBorders>
              <w:top w:val="nil"/>
              <w:left w:val="nil"/>
              <w:bottom w:val="nil"/>
              <w:right w:val="nil"/>
            </w:tcBorders>
            <w:shd w:val="clear" w:color="auto" w:fill="auto"/>
            <w:vAlign w:val="center"/>
            <w:hideMark/>
          </w:tcPr>
          <w:p w14:paraId="457939E2"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eastAsia="en-GB"/>
              </w:rPr>
              <w:t>1</w:t>
            </w:r>
          </w:p>
        </w:tc>
      </w:tr>
      <w:tr w:rsidR="00A72BD1" w:rsidRPr="00CC0845" w14:paraId="614D6691" w14:textId="77777777" w:rsidTr="00A72BD1">
        <w:trPr>
          <w:trHeight w:val="240"/>
          <w:jc w:val="center"/>
        </w:trPr>
        <w:tc>
          <w:tcPr>
            <w:tcW w:w="3100" w:type="dxa"/>
            <w:tcBorders>
              <w:top w:val="nil"/>
              <w:left w:val="nil"/>
              <w:bottom w:val="nil"/>
              <w:right w:val="nil"/>
            </w:tcBorders>
            <w:shd w:val="clear" w:color="auto" w:fill="auto"/>
            <w:noWrap/>
            <w:vAlign w:val="center"/>
            <w:hideMark/>
          </w:tcPr>
          <w:p w14:paraId="7B73D848"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p>
        </w:tc>
        <w:tc>
          <w:tcPr>
            <w:tcW w:w="1340" w:type="dxa"/>
            <w:tcBorders>
              <w:top w:val="nil"/>
              <w:left w:val="nil"/>
              <w:bottom w:val="nil"/>
              <w:right w:val="nil"/>
            </w:tcBorders>
            <w:shd w:val="clear" w:color="auto" w:fill="auto"/>
            <w:vAlign w:val="center"/>
            <w:hideMark/>
          </w:tcPr>
          <w:p w14:paraId="263D3C24" w14:textId="77777777" w:rsidR="00A72BD1" w:rsidRPr="00CC0845" w:rsidRDefault="00A72BD1" w:rsidP="00A72BD1">
            <w:pPr>
              <w:spacing w:after="0" w:line="240" w:lineRule="auto"/>
              <w:rPr>
                <w:rFonts w:ascii="Times New Roman" w:eastAsia="Times New Roman" w:hAnsi="Times New Roman" w:cs="Times New Roman"/>
                <w:sz w:val="24"/>
                <w:szCs w:val="24"/>
                <w:lang w:val="en-GB" w:eastAsia="en-GB"/>
              </w:rPr>
            </w:pPr>
          </w:p>
        </w:tc>
        <w:tc>
          <w:tcPr>
            <w:tcW w:w="280" w:type="dxa"/>
            <w:tcBorders>
              <w:top w:val="nil"/>
              <w:left w:val="nil"/>
              <w:bottom w:val="nil"/>
              <w:right w:val="nil"/>
            </w:tcBorders>
            <w:shd w:val="clear" w:color="auto" w:fill="auto"/>
            <w:vAlign w:val="center"/>
            <w:hideMark/>
          </w:tcPr>
          <w:p w14:paraId="1638FFD5" w14:textId="77777777" w:rsidR="00A72BD1" w:rsidRPr="00CC0845" w:rsidRDefault="00A72BD1" w:rsidP="00A72BD1">
            <w:pPr>
              <w:spacing w:after="0" w:line="240" w:lineRule="auto"/>
              <w:jc w:val="center"/>
              <w:rPr>
                <w:rFonts w:ascii="Times New Roman" w:eastAsia="Times New Roman" w:hAnsi="Times New Roman" w:cs="Times New Roman"/>
                <w:sz w:val="24"/>
                <w:szCs w:val="24"/>
                <w:lang w:val="en-GB" w:eastAsia="en-GB"/>
              </w:rPr>
            </w:pPr>
          </w:p>
        </w:tc>
        <w:tc>
          <w:tcPr>
            <w:tcW w:w="1340" w:type="dxa"/>
            <w:tcBorders>
              <w:top w:val="nil"/>
              <w:left w:val="nil"/>
              <w:bottom w:val="nil"/>
              <w:right w:val="nil"/>
            </w:tcBorders>
            <w:shd w:val="clear" w:color="auto" w:fill="auto"/>
            <w:vAlign w:val="center"/>
            <w:hideMark/>
          </w:tcPr>
          <w:p w14:paraId="23BB3E2F" w14:textId="77777777" w:rsidR="00A72BD1" w:rsidRPr="00CC0845" w:rsidRDefault="00A72BD1" w:rsidP="00A72BD1">
            <w:pPr>
              <w:spacing w:after="0" w:line="240" w:lineRule="auto"/>
              <w:jc w:val="center"/>
              <w:rPr>
                <w:rFonts w:ascii="Times New Roman" w:eastAsia="Times New Roman" w:hAnsi="Times New Roman" w:cs="Times New Roman"/>
                <w:sz w:val="24"/>
                <w:szCs w:val="24"/>
                <w:lang w:val="en-GB" w:eastAsia="en-GB"/>
              </w:rPr>
            </w:pPr>
          </w:p>
        </w:tc>
      </w:tr>
      <w:tr w:rsidR="00A72BD1" w:rsidRPr="00CC0845" w14:paraId="68B308F4" w14:textId="77777777" w:rsidTr="00A72BD1">
        <w:trPr>
          <w:trHeight w:val="315"/>
          <w:jc w:val="center"/>
        </w:trPr>
        <w:tc>
          <w:tcPr>
            <w:tcW w:w="3100" w:type="dxa"/>
            <w:tcBorders>
              <w:top w:val="nil"/>
              <w:left w:val="nil"/>
              <w:bottom w:val="nil"/>
              <w:right w:val="nil"/>
            </w:tcBorders>
            <w:shd w:val="clear" w:color="auto" w:fill="auto"/>
            <w:noWrap/>
            <w:vAlign w:val="center"/>
            <w:hideMark/>
          </w:tcPr>
          <w:p w14:paraId="7164AC2E" w14:textId="77777777" w:rsidR="00A72BD1" w:rsidRPr="00CC0845" w:rsidRDefault="00A72BD1" w:rsidP="00A72BD1">
            <w:pPr>
              <w:spacing w:after="0" w:line="240" w:lineRule="auto"/>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val="en-GB" w:eastAsia="en-GB"/>
              </w:rPr>
              <w:t>Food &amp; Beverage</w:t>
            </w:r>
          </w:p>
        </w:tc>
        <w:tc>
          <w:tcPr>
            <w:tcW w:w="1340" w:type="dxa"/>
            <w:tcBorders>
              <w:top w:val="nil"/>
              <w:left w:val="nil"/>
              <w:bottom w:val="nil"/>
              <w:right w:val="nil"/>
            </w:tcBorders>
            <w:shd w:val="clear" w:color="auto" w:fill="auto"/>
            <w:vAlign w:val="center"/>
            <w:hideMark/>
          </w:tcPr>
          <w:p w14:paraId="3E2E42F1"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eastAsia="en-GB"/>
              </w:rPr>
              <w:t>2</w:t>
            </w:r>
          </w:p>
        </w:tc>
        <w:tc>
          <w:tcPr>
            <w:tcW w:w="280" w:type="dxa"/>
            <w:tcBorders>
              <w:top w:val="nil"/>
              <w:left w:val="nil"/>
              <w:bottom w:val="nil"/>
              <w:right w:val="nil"/>
            </w:tcBorders>
            <w:shd w:val="clear" w:color="auto" w:fill="auto"/>
            <w:vAlign w:val="center"/>
            <w:hideMark/>
          </w:tcPr>
          <w:p w14:paraId="0FCAF67D"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p>
        </w:tc>
        <w:tc>
          <w:tcPr>
            <w:tcW w:w="1340" w:type="dxa"/>
            <w:tcBorders>
              <w:top w:val="nil"/>
              <w:left w:val="nil"/>
              <w:bottom w:val="nil"/>
              <w:right w:val="nil"/>
            </w:tcBorders>
            <w:shd w:val="clear" w:color="auto" w:fill="auto"/>
            <w:vAlign w:val="center"/>
            <w:hideMark/>
          </w:tcPr>
          <w:p w14:paraId="785ED234"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eastAsia="en-GB"/>
              </w:rPr>
              <w:t>0</w:t>
            </w:r>
          </w:p>
        </w:tc>
      </w:tr>
      <w:tr w:rsidR="00A72BD1" w:rsidRPr="00CC0845" w14:paraId="72DE9CBF" w14:textId="77777777" w:rsidTr="00A72BD1">
        <w:trPr>
          <w:trHeight w:val="240"/>
          <w:jc w:val="center"/>
        </w:trPr>
        <w:tc>
          <w:tcPr>
            <w:tcW w:w="3100" w:type="dxa"/>
            <w:tcBorders>
              <w:top w:val="nil"/>
              <w:left w:val="nil"/>
              <w:bottom w:val="nil"/>
              <w:right w:val="nil"/>
            </w:tcBorders>
            <w:shd w:val="clear" w:color="auto" w:fill="auto"/>
            <w:noWrap/>
            <w:vAlign w:val="center"/>
            <w:hideMark/>
          </w:tcPr>
          <w:p w14:paraId="376B606B"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p>
        </w:tc>
        <w:tc>
          <w:tcPr>
            <w:tcW w:w="1340" w:type="dxa"/>
            <w:tcBorders>
              <w:top w:val="nil"/>
              <w:left w:val="nil"/>
              <w:bottom w:val="nil"/>
              <w:right w:val="nil"/>
            </w:tcBorders>
            <w:shd w:val="clear" w:color="auto" w:fill="auto"/>
            <w:vAlign w:val="center"/>
            <w:hideMark/>
          </w:tcPr>
          <w:p w14:paraId="2D5EB24D" w14:textId="77777777" w:rsidR="00A72BD1" w:rsidRPr="00CC0845" w:rsidRDefault="00A72BD1" w:rsidP="00A72BD1">
            <w:pPr>
              <w:spacing w:after="0" w:line="240" w:lineRule="auto"/>
              <w:rPr>
                <w:rFonts w:ascii="Times New Roman" w:eastAsia="Times New Roman" w:hAnsi="Times New Roman" w:cs="Times New Roman"/>
                <w:sz w:val="24"/>
                <w:szCs w:val="24"/>
                <w:lang w:val="en-GB" w:eastAsia="en-GB"/>
              </w:rPr>
            </w:pPr>
          </w:p>
        </w:tc>
        <w:tc>
          <w:tcPr>
            <w:tcW w:w="280" w:type="dxa"/>
            <w:tcBorders>
              <w:top w:val="nil"/>
              <w:left w:val="nil"/>
              <w:bottom w:val="nil"/>
              <w:right w:val="nil"/>
            </w:tcBorders>
            <w:shd w:val="clear" w:color="auto" w:fill="auto"/>
            <w:vAlign w:val="center"/>
            <w:hideMark/>
          </w:tcPr>
          <w:p w14:paraId="24EB0E1D" w14:textId="77777777" w:rsidR="00A72BD1" w:rsidRPr="00CC0845" w:rsidRDefault="00A72BD1" w:rsidP="00A72BD1">
            <w:pPr>
              <w:spacing w:after="0" w:line="240" w:lineRule="auto"/>
              <w:jc w:val="center"/>
              <w:rPr>
                <w:rFonts w:ascii="Times New Roman" w:eastAsia="Times New Roman" w:hAnsi="Times New Roman" w:cs="Times New Roman"/>
                <w:sz w:val="24"/>
                <w:szCs w:val="24"/>
                <w:lang w:val="en-GB" w:eastAsia="en-GB"/>
              </w:rPr>
            </w:pPr>
          </w:p>
        </w:tc>
        <w:tc>
          <w:tcPr>
            <w:tcW w:w="1340" w:type="dxa"/>
            <w:tcBorders>
              <w:top w:val="nil"/>
              <w:left w:val="nil"/>
              <w:bottom w:val="nil"/>
              <w:right w:val="nil"/>
            </w:tcBorders>
            <w:shd w:val="clear" w:color="auto" w:fill="auto"/>
            <w:vAlign w:val="center"/>
            <w:hideMark/>
          </w:tcPr>
          <w:p w14:paraId="688935B7" w14:textId="77777777" w:rsidR="00A72BD1" w:rsidRPr="00CC0845" w:rsidRDefault="00A72BD1" w:rsidP="00A72BD1">
            <w:pPr>
              <w:spacing w:after="0" w:line="240" w:lineRule="auto"/>
              <w:jc w:val="center"/>
              <w:rPr>
                <w:rFonts w:ascii="Times New Roman" w:eastAsia="Times New Roman" w:hAnsi="Times New Roman" w:cs="Times New Roman"/>
                <w:sz w:val="24"/>
                <w:szCs w:val="24"/>
                <w:lang w:val="en-GB" w:eastAsia="en-GB"/>
              </w:rPr>
            </w:pPr>
          </w:p>
        </w:tc>
      </w:tr>
      <w:tr w:rsidR="00A72BD1" w:rsidRPr="00CC0845" w14:paraId="4EBA333C" w14:textId="77777777" w:rsidTr="00A72BD1">
        <w:trPr>
          <w:trHeight w:val="315"/>
          <w:jc w:val="center"/>
        </w:trPr>
        <w:tc>
          <w:tcPr>
            <w:tcW w:w="3100" w:type="dxa"/>
            <w:tcBorders>
              <w:top w:val="nil"/>
              <w:left w:val="nil"/>
              <w:bottom w:val="nil"/>
              <w:right w:val="nil"/>
            </w:tcBorders>
            <w:shd w:val="clear" w:color="auto" w:fill="auto"/>
            <w:noWrap/>
            <w:vAlign w:val="center"/>
            <w:hideMark/>
          </w:tcPr>
          <w:p w14:paraId="61304179" w14:textId="77777777" w:rsidR="00A72BD1" w:rsidRPr="00CC0845" w:rsidRDefault="00A72BD1" w:rsidP="00A72BD1">
            <w:pPr>
              <w:spacing w:after="0" w:line="240" w:lineRule="auto"/>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val="en-GB" w:eastAsia="en-GB"/>
              </w:rPr>
              <w:t>Healthcare</w:t>
            </w:r>
          </w:p>
        </w:tc>
        <w:tc>
          <w:tcPr>
            <w:tcW w:w="1340" w:type="dxa"/>
            <w:tcBorders>
              <w:top w:val="nil"/>
              <w:left w:val="nil"/>
              <w:bottom w:val="nil"/>
              <w:right w:val="nil"/>
            </w:tcBorders>
            <w:shd w:val="clear" w:color="auto" w:fill="auto"/>
            <w:vAlign w:val="center"/>
            <w:hideMark/>
          </w:tcPr>
          <w:p w14:paraId="134CA2FD"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eastAsia="en-GB"/>
              </w:rPr>
              <w:t>9</w:t>
            </w:r>
          </w:p>
        </w:tc>
        <w:tc>
          <w:tcPr>
            <w:tcW w:w="280" w:type="dxa"/>
            <w:tcBorders>
              <w:top w:val="nil"/>
              <w:left w:val="nil"/>
              <w:bottom w:val="nil"/>
              <w:right w:val="nil"/>
            </w:tcBorders>
            <w:shd w:val="clear" w:color="auto" w:fill="auto"/>
            <w:vAlign w:val="center"/>
            <w:hideMark/>
          </w:tcPr>
          <w:p w14:paraId="7E158A30"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p>
        </w:tc>
        <w:tc>
          <w:tcPr>
            <w:tcW w:w="1340" w:type="dxa"/>
            <w:tcBorders>
              <w:top w:val="nil"/>
              <w:left w:val="nil"/>
              <w:bottom w:val="nil"/>
              <w:right w:val="nil"/>
            </w:tcBorders>
            <w:shd w:val="clear" w:color="auto" w:fill="auto"/>
            <w:vAlign w:val="center"/>
            <w:hideMark/>
          </w:tcPr>
          <w:p w14:paraId="1B63622E"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eastAsia="en-GB"/>
              </w:rPr>
              <w:t>3</w:t>
            </w:r>
          </w:p>
        </w:tc>
      </w:tr>
      <w:tr w:rsidR="00A72BD1" w:rsidRPr="00CC0845" w14:paraId="3ECF5422" w14:textId="77777777" w:rsidTr="00A72BD1">
        <w:trPr>
          <w:trHeight w:val="240"/>
          <w:jc w:val="center"/>
        </w:trPr>
        <w:tc>
          <w:tcPr>
            <w:tcW w:w="3100" w:type="dxa"/>
            <w:tcBorders>
              <w:top w:val="nil"/>
              <w:left w:val="nil"/>
              <w:bottom w:val="nil"/>
              <w:right w:val="nil"/>
            </w:tcBorders>
            <w:shd w:val="clear" w:color="auto" w:fill="auto"/>
            <w:noWrap/>
            <w:vAlign w:val="center"/>
            <w:hideMark/>
          </w:tcPr>
          <w:p w14:paraId="584C6B4C"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p>
        </w:tc>
        <w:tc>
          <w:tcPr>
            <w:tcW w:w="1340" w:type="dxa"/>
            <w:tcBorders>
              <w:top w:val="nil"/>
              <w:left w:val="nil"/>
              <w:bottom w:val="nil"/>
              <w:right w:val="nil"/>
            </w:tcBorders>
            <w:shd w:val="clear" w:color="auto" w:fill="auto"/>
            <w:vAlign w:val="center"/>
            <w:hideMark/>
          </w:tcPr>
          <w:p w14:paraId="06BD2F09" w14:textId="77777777" w:rsidR="00A72BD1" w:rsidRPr="00CC0845" w:rsidRDefault="00A72BD1" w:rsidP="00A72BD1">
            <w:pPr>
              <w:spacing w:after="0" w:line="240" w:lineRule="auto"/>
              <w:rPr>
                <w:rFonts w:ascii="Times New Roman" w:eastAsia="Times New Roman" w:hAnsi="Times New Roman" w:cs="Times New Roman"/>
                <w:sz w:val="24"/>
                <w:szCs w:val="24"/>
                <w:lang w:val="en-GB" w:eastAsia="en-GB"/>
              </w:rPr>
            </w:pPr>
          </w:p>
        </w:tc>
        <w:tc>
          <w:tcPr>
            <w:tcW w:w="280" w:type="dxa"/>
            <w:tcBorders>
              <w:top w:val="nil"/>
              <w:left w:val="nil"/>
              <w:bottom w:val="nil"/>
              <w:right w:val="nil"/>
            </w:tcBorders>
            <w:shd w:val="clear" w:color="auto" w:fill="auto"/>
            <w:vAlign w:val="center"/>
            <w:hideMark/>
          </w:tcPr>
          <w:p w14:paraId="22C21961" w14:textId="77777777" w:rsidR="00A72BD1" w:rsidRPr="00CC0845" w:rsidRDefault="00A72BD1" w:rsidP="00A72BD1">
            <w:pPr>
              <w:spacing w:after="0" w:line="240" w:lineRule="auto"/>
              <w:jc w:val="center"/>
              <w:rPr>
                <w:rFonts w:ascii="Times New Roman" w:eastAsia="Times New Roman" w:hAnsi="Times New Roman" w:cs="Times New Roman"/>
                <w:sz w:val="24"/>
                <w:szCs w:val="24"/>
                <w:lang w:val="en-GB" w:eastAsia="en-GB"/>
              </w:rPr>
            </w:pPr>
          </w:p>
        </w:tc>
        <w:tc>
          <w:tcPr>
            <w:tcW w:w="1340" w:type="dxa"/>
            <w:tcBorders>
              <w:top w:val="nil"/>
              <w:left w:val="nil"/>
              <w:bottom w:val="nil"/>
              <w:right w:val="nil"/>
            </w:tcBorders>
            <w:shd w:val="clear" w:color="auto" w:fill="auto"/>
            <w:vAlign w:val="center"/>
            <w:hideMark/>
          </w:tcPr>
          <w:p w14:paraId="0B545F0E" w14:textId="77777777" w:rsidR="00A72BD1" w:rsidRPr="00CC0845" w:rsidRDefault="00A72BD1" w:rsidP="00A72BD1">
            <w:pPr>
              <w:spacing w:after="0" w:line="240" w:lineRule="auto"/>
              <w:jc w:val="center"/>
              <w:rPr>
                <w:rFonts w:ascii="Times New Roman" w:eastAsia="Times New Roman" w:hAnsi="Times New Roman" w:cs="Times New Roman"/>
                <w:sz w:val="24"/>
                <w:szCs w:val="24"/>
                <w:lang w:val="en-GB" w:eastAsia="en-GB"/>
              </w:rPr>
            </w:pPr>
          </w:p>
        </w:tc>
      </w:tr>
      <w:tr w:rsidR="00A72BD1" w:rsidRPr="00CC0845" w14:paraId="25F44E9D" w14:textId="77777777" w:rsidTr="00A72BD1">
        <w:trPr>
          <w:trHeight w:val="315"/>
          <w:jc w:val="center"/>
        </w:trPr>
        <w:tc>
          <w:tcPr>
            <w:tcW w:w="3100" w:type="dxa"/>
            <w:tcBorders>
              <w:top w:val="nil"/>
              <w:left w:val="nil"/>
              <w:bottom w:val="nil"/>
              <w:right w:val="nil"/>
            </w:tcBorders>
            <w:shd w:val="clear" w:color="auto" w:fill="auto"/>
            <w:noWrap/>
            <w:vAlign w:val="center"/>
            <w:hideMark/>
          </w:tcPr>
          <w:p w14:paraId="32DB7119" w14:textId="77777777" w:rsidR="00A72BD1" w:rsidRPr="00CC0845" w:rsidRDefault="00A72BD1" w:rsidP="00A72BD1">
            <w:pPr>
              <w:spacing w:after="0" w:line="240" w:lineRule="auto"/>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val="en-GB" w:eastAsia="en-GB"/>
              </w:rPr>
              <w:t>Industrial Goods &amp; Services</w:t>
            </w:r>
          </w:p>
        </w:tc>
        <w:tc>
          <w:tcPr>
            <w:tcW w:w="1340" w:type="dxa"/>
            <w:tcBorders>
              <w:top w:val="nil"/>
              <w:left w:val="nil"/>
              <w:bottom w:val="nil"/>
              <w:right w:val="nil"/>
            </w:tcBorders>
            <w:shd w:val="clear" w:color="auto" w:fill="auto"/>
            <w:vAlign w:val="center"/>
            <w:hideMark/>
          </w:tcPr>
          <w:p w14:paraId="278E9045"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eastAsia="en-GB"/>
              </w:rPr>
              <w:t>31</w:t>
            </w:r>
          </w:p>
        </w:tc>
        <w:tc>
          <w:tcPr>
            <w:tcW w:w="280" w:type="dxa"/>
            <w:tcBorders>
              <w:top w:val="nil"/>
              <w:left w:val="nil"/>
              <w:bottom w:val="nil"/>
              <w:right w:val="nil"/>
            </w:tcBorders>
            <w:shd w:val="clear" w:color="auto" w:fill="auto"/>
            <w:vAlign w:val="center"/>
            <w:hideMark/>
          </w:tcPr>
          <w:p w14:paraId="234165C9"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p>
        </w:tc>
        <w:tc>
          <w:tcPr>
            <w:tcW w:w="1340" w:type="dxa"/>
            <w:tcBorders>
              <w:top w:val="nil"/>
              <w:left w:val="nil"/>
              <w:bottom w:val="nil"/>
              <w:right w:val="nil"/>
            </w:tcBorders>
            <w:shd w:val="clear" w:color="auto" w:fill="auto"/>
            <w:vAlign w:val="center"/>
            <w:hideMark/>
          </w:tcPr>
          <w:p w14:paraId="1EEA84C5"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eastAsia="en-GB"/>
              </w:rPr>
              <w:t>8</w:t>
            </w:r>
          </w:p>
        </w:tc>
      </w:tr>
      <w:tr w:rsidR="00A72BD1" w:rsidRPr="00CC0845" w14:paraId="6CECD245" w14:textId="77777777" w:rsidTr="00A72BD1">
        <w:trPr>
          <w:trHeight w:val="240"/>
          <w:jc w:val="center"/>
        </w:trPr>
        <w:tc>
          <w:tcPr>
            <w:tcW w:w="3100" w:type="dxa"/>
            <w:tcBorders>
              <w:top w:val="nil"/>
              <w:left w:val="nil"/>
              <w:bottom w:val="nil"/>
              <w:right w:val="nil"/>
            </w:tcBorders>
            <w:shd w:val="clear" w:color="auto" w:fill="auto"/>
            <w:noWrap/>
            <w:vAlign w:val="center"/>
            <w:hideMark/>
          </w:tcPr>
          <w:p w14:paraId="287896BB"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p>
        </w:tc>
        <w:tc>
          <w:tcPr>
            <w:tcW w:w="1340" w:type="dxa"/>
            <w:tcBorders>
              <w:top w:val="nil"/>
              <w:left w:val="nil"/>
              <w:bottom w:val="nil"/>
              <w:right w:val="nil"/>
            </w:tcBorders>
            <w:shd w:val="clear" w:color="auto" w:fill="auto"/>
            <w:vAlign w:val="center"/>
            <w:hideMark/>
          </w:tcPr>
          <w:p w14:paraId="353B5887" w14:textId="77777777" w:rsidR="00A72BD1" w:rsidRPr="00CC0845" w:rsidRDefault="00A72BD1" w:rsidP="00A72BD1">
            <w:pPr>
              <w:spacing w:after="0" w:line="240" w:lineRule="auto"/>
              <w:rPr>
                <w:rFonts w:ascii="Times New Roman" w:eastAsia="Times New Roman" w:hAnsi="Times New Roman" w:cs="Times New Roman"/>
                <w:sz w:val="24"/>
                <w:szCs w:val="24"/>
                <w:lang w:val="en-GB" w:eastAsia="en-GB"/>
              </w:rPr>
            </w:pPr>
          </w:p>
        </w:tc>
        <w:tc>
          <w:tcPr>
            <w:tcW w:w="280" w:type="dxa"/>
            <w:tcBorders>
              <w:top w:val="nil"/>
              <w:left w:val="nil"/>
              <w:bottom w:val="nil"/>
              <w:right w:val="nil"/>
            </w:tcBorders>
            <w:shd w:val="clear" w:color="auto" w:fill="auto"/>
            <w:vAlign w:val="center"/>
            <w:hideMark/>
          </w:tcPr>
          <w:p w14:paraId="40C00FA8" w14:textId="77777777" w:rsidR="00A72BD1" w:rsidRPr="00CC0845" w:rsidRDefault="00A72BD1" w:rsidP="00A72BD1">
            <w:pPr>
              <w:spacing w:after="0" w:line="240" w:lineRule="auto"/>
              <w:jc w:val="center"/>
              <w:rPr>
                <w:rFonts w:ascii="Times New Roman" w:eastAsia="Times New Roman" w:hAnsi="Times New Roman" w:cs="Times New Roman"/>
                <w:sz w:val="24"/>
                <w:szCs w:val="24"/>
                <w:lang w:val="en-GB" w:eastAsia="en-GB"/>
              </w:rPr>
            </w:pPr>
          </w:p>
        </w:tc>
        <w:tc>
          <w:tcPr>
            <w:tcW w:w="1340" w:type="dxa"/>
            <w:tcBorders>
              <w:top w:val="nil"/>
              <w:left w:val="nil"/>
              <w:bottom w:val="nil"/>
              <w:right w:val="nil"/>
            </w:tcBorders>
            <w:shd w:val="clear" w:color="auto" w:fill="auto"/>
            <w:vAlign w:val="center"/>
            <w:hideMark/>
          </w:tcPr>
          <w:p w14:paraId="232566FE" w14:textId="77777777" w:rsidR="00A72BD1" w:rsidRPr="00CC0845" w:rsidRDefault="00A72BD1" w:rsidP="00A72BD1">
            <w:pPr>
              <w:spacing w:after="0" w:line="240" w:lineRule="auto"/>
              <w:jc w:val="center"/>
              <w:rPr>
                <w:rFonts w:ascii="Times New Roman" w:eastAsia="Times New Roman" w:hAnsi="Times New Roman" w:cs="Times New Roman"/>
                <w:sz w:val="24"/>
                <w:szCs w:val="24"/>
                <w:lang w:val="en-GB" w:eastAsia="en-GB"/>
              </w:rPr>
            </w:pPr>
          </w:p>
        </w:tc>
      </w:tr>
      <w:tr w:rsidR="00A72BD1" w:rsidRPr="00CC0845" w14:paraId="6D3B4860" w14:textId="77777777" w:rsidTr="00A72BD1">
        <w:trPr>
          <w:trHeight w:val="315"/>
          <w:jc w:val="center"/>
        </w:trPr>
        <w:tc>
          <w:tcPr>
            <w:tcW w:w="3100" w:type="dxa"/>
            <w:tcBorders>
              <w:top w:val="nil"/>
              <w:left w:val="nil"/>
              <w:bottom w:val="nil"/>
              <w:right w:val="nil"/>
            </w:tcBorders>
            <w:shd w:val="clear" w:color="auto" w:fill="auto"/>
            <w:noWrap/>
            <w:vAlign w:val="center"/>
            <w:hideMark/>
          </w:tcPr>
          <w:p w14:paraId="544BA384" w14:textId="77777777" w:rsidR="00A72BD1" w:rsidRPr="00CC0845" w:rsidRDefault="00A72BD1" w:rsidP="00A72BD1">
            <w:pPr>
              <w:spacing w:after="0" w:line="240" w:lineRule="auto"/>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val="en-GB" w:eastAsia="en-GB"/>
              </w:rPr>
              <w:t>Media</w:t>
            </w:r>
          </w:p>
        </w:tc>
        <w:tc>
          <w:tcPr>
            <w:tcW w:w="1340" w:type="dxa"/>
            <w:tcBorders>
              <w:top w:val="nil"/>
              <w:left w:val="nil"/>
              <w:bottom w:val="nil"/>
              <w:right w:val="nil"/>
            </w:tcBorders>
            <w:shd w:val="clear" w:color="auto" w:fill="auto"/>
            <w:vAlign w:val="center"/>
            <w:hideMark/>
          </w:tcPr>
          <w:p w14:paraId="74CCE1EE"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eastAsia="en-GB"/>
              </w:rPr>
              <w:t>1</w:t>
            </w:r>
          </w:p>
        </w:tc>
        <w:tc>
          <w:tcPr>
            <w:tcW w:w="280" w:type="dxa"/>
            <w:tcBorders>
              <w:top w:val="nil"/>
              <w:left w:val="nil"/>
              <w:bottom w:val="nil"/>
              <w:right w:val="nil"/>
            </w:tcBorders>
            <w:shd w:val="clear" w:color="auto" w:fill="auto"/>
            <w:vAlign w:val="center"/>
            <w:hideMark/>
          </w:tcPr>
          <w:p w14:paraId="730465A3"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p>
        </w:tc>
        <w:tc>
          <w:tcPr>
            <w:tcW w:w="1340" w:type="dxa"/>
            <w:tcBorders>
              <w:top w:val="nil"/>
              <w:left w:val="nil"/>
              <w:bottom w:val="nil"/>
              <w:right w:val="nil"/>
            </w:tcBorders>
            <w:shd w:val="clear" w:color="auto" w:fill="auto"/>
            <w:vAlign w:val="center"/>
            <w:hideMark/>
          </w:tcPr>
          <w:p w14:paraId="0ABC19ED"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eastAsia="en-GB"/>
              </w:rPr>
              <w:t>0</w:t>
            </w:r>
          </w:p>
        </w:tc>
      </w:tr>
      <w:tr w:rsidR="00A72BD1" w:rsidRPr="00CC0845" w14:paraId="18A1CABE" w14:textId="77777777" w:rsidTr="00A72BD1">
        <w:trPr>
          <w:trHeight w:val="240"/>
          <w:jc w:val="center"/>
        </w:trPr>
        <w:tc>
          <w:tcPr>
            <w:tcW w:w="3100" w:type="dxa"/>
            <w:tcBorders>
              <w:top w:val="nil"/>
              <w:left w:val="nil"/>
              <w:bottom w:val="nil"/>
              <w:right w:val="nil"/>
            </w:tcBorders>
            <w:shd w:val="clear" w:color="auto" w:fill="auto"/>
            <w:noWrap/>
            <w:vAlign w:val="center"/>
            <w:hideMark/>
          </w:tcPr>
          <w:p w14:paraId="16547C52"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p>
        </w:tc>
        <w:tc>
          <w:tcPr>
            <w:tcW w:w="1340" w:type="dxa"/>
            <w:tcBorders>
              <w:top w:val="nil"/>
              <w:left w:val="nil"/>
              <w:bottom w:val="nil"/>
              <w:right w:val="nil"/>
            </w:tcBorders>
            <w:shd w:val="clear" w:color="auto" w:fill="auto"/>
            <w:vAlign w:val="center"/>
            <w:hideMark/>
          </w:tcPr>
          <w:p w14:paraId="42320991" w14:textId="77777777" w:rsidR="00A72BD1" w:rsidRPr="00CC0845" w:rsidRDefault="00A72BD1" w:rsidP="00A72BD1">
            <w:pPr>
              <w:spacing w:after="0" w:line="240" w:lineRule="auto"/>
              <w:rPr>
                <w:rFonts w:ascii="Times New Roman" w:eastAsia="Times New Roman" w:hAnsi="Times New Roman" w:cs="Times New Roman"/>
                <w:sz w:val="24"/>
                <w:szCs w:val="24"/>
                <w:lang w:val="en-GB" w:eastAsia="en-GB"/>
              </w:rPr>
            </w:pPr>
          </w:p>
        </w:tc>
        <w:tc>
          <w:tcPr>
            <w:tcW w:w="280" w:type="dxa"/>
            <w:tcBorders>
              <w:top w:val="nil"/>
              <w:left w:val="nil"/>
              <w:bottom w:val="nil"/>
              <w:right w:val="nil"/>
            </w:tcBorders>
            <w:shd w:val="clear" w:color="auto" w:fill="auto"/>
            <w:vAlign w:val="center"/>
            <w:hideMark/>
          </w:tcPr>
          <w:p w14:paraId="14A5C6DC" w14:textId="77777777" w:rsidR="00A72BD1" w:rsidRPr="00CC0845" w:rsidRDefault="00A72BD1" w:rsidP="00A72BD1">
            <w:pPr>
              <w:spacing w:after="0" w:line="240" w:lineRule="auto"/>
              <w:jc w:val="center"/>
              <w:rPr>
                <w:rFonts w:ascii="Times New Roman" w:eastAsia="Times New Roman" w:hAnsi="Times New Roman" w:cs="Times New Roman"/>
                <w:sz w:val="24"/>
                <w:szCs w:val="24"/>
                <w:lang w:val="en-GB" w:eastAsia="en-GB"/>
              </w:rPr>
            </w:pPr>
          </w:p>
        </w:tc>
        <w:tc>
          <w:tcPr>
            <w:tcW w:w="1340" w:type="dxa"/>
            <w:tcBorders>
              <w:top w:val="nil"/>
              <w:left w:val="nil"/>
              <w:bottom w:val="nil"/>
              <w:right w:val="nil"/>
            </w:tcBorders>
            <w:shd w:val="clear" w:color="auto" w:fill="auto"/>
            <w:vAlign w:val="center"/>
            <w:hideMark/>
          </w:tcPr>
          <w:p w14:paraId="36CAAED4" w14:textId="77777777" w:rsidR="00A72BD1" w:rsidRPr="00CC0845" w:rsidRDefault="00A72BD1" w:rsidP="00A72BD1">
            <w:pPr>
              <w:spacing w:after="0" w:line="240" w:lineRule="auto"/>
              <w:jc w:val="center"/>
              <w:rPr>
                <w:rFonts w:ascii="Times New Roman" w:eastAsia="Times New Roman" w:hAnsi="Times New Roman" w:cs="Times New Roman"/>
                <w:sz w:val="24"/>
                <w:szCs w:val="24"/>
                <w:lang w:val="en-GB" w:eastAsia="en-GB"/>
              </w:rPr>
            </w:pPr>
          </w:p>
        </w:tc>
      </w:tr>
      <w:tr w:rsidR="00A72BD1" w:rsidRPr="00CC0845" w14:paraId="1D6B8F62" w14:textId="77777777" w:rsidTr="00A72BD1">
        <w:trPr>
          <w:trHeight w:val="315"/>
          <w:jc w:val="center"/>
        </w:trPr>
        <w:tc>
          <w:tcPr>
            <w:tcW w:w="3100" w:type="dxa"/>
            <w:tcBorders>
              <w:top w:val="nil"/>
              <w:left w:val="nil"/>
              <w:bottom w:val="nil"/>
              <w:right w:val="nil"/>
            </w:tcBorders>
            <w:shd w:val="clear" w:color="auto" w:fill="auto"/>
            <w:noWrap/>
            <w:vAlign w:val="center"/>
            <w:hideMark/>
          </w:tcPr>
          <w:p w14:paraId="11EB98B1" w14:textId="77777777" w:rsidR="00A72BD1" w:rsidRPr="00CC0845" w:rsidRDefault="00A72BD1" w:rsidP="00A72BD1">
            <w:pPr>
              <w:spacing w:after="0" w:line="240" w:lineRule="auto"/>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val="en-GB" w:eastAsia="en-GB"/>
              </w:rPr>
              <w:t>Personal &amp; Household Goods</w:t>
            </w:r>
          </w:p>
        </w:tc>
        <w:tc>
          <w:tcPr>
            <w:tcW w:w="1340" w:type="dxa"/>
            <w:tcBorders>
              <w:top w:val="nil"/>
              <w:left w:val="nil"/>
              <w:bottom w:val="nil"/>
              <w:right w:val="nil"/>
            </w:tcBorders>
            <w:shd w:val="clear" w:color="auto" w:fill="auto"/>
            <w:vAlign w:val="center"/>
            <w:hideMark/>
          </w:tcPr>
          <w:p w14:paraId="164D8496"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eastAsia="en-GB"/>
              </w:rPr>
              <w:t>2</w:t>
            </w:r>
          </w:p>
        </w:tc>
        <w:tc>
          <w:tcPr>
            <w:tcW w:w="280" w:type="dxa"/>
            <w:tcBorders>
              <w:top w:val="nil"/>
              <w:left w:val="nil"/>
              <w:bottom w:val="nil"/>
              <w:right w:val="nil"/>
            </w:tcBorders>
            <w:shd w:val="clear" w:color="auto" w:fill="auto"/>
            <w:vAlign w:val="center"/>
            <w:hideMark/>
          </w:tcPr>
          <w:p w14:paraId="36E43081"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p>
        </w:tc>
        <w:tc>
          <w:tcPr>
            <w:tcW w:w="1340" w:type="dxa"/>
            <w:tcBorders>
              <w:top w:val="nil"/>
              <w:left w:val="nil"/>
              <w:bottom w:val="nil"/>
              <w:right w:val="nil"/>
            </w:tcBorders>
            <w:shd w:val="clear" w:color="auto" w:fill="auto"/>
            <w:vAlign w:val="center"/>
            <w:hideMark/>
          </w:tcPr>
          <w:p w14:paraId="6B259FAD"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eastAsia="en-GB"/>
              </w:rPr>
              <w:t>1</w:t>
            </w:r>
          </w:p>
        </w:tc>
      </w:tr>
      <w:tr w:rsidR="00A72BD1" w:rsidRPr="00CC0845" w14:paraId="5DA46133" w14:textId="77777777" w:rsidTr="00A72BD1">
        <w:trPr>
          <w:trHeight w:val="240"/>
          <w:jc w:val="center"/>
        </w:trPr>
        <w:tc>
          <w:tcPr>
            <w:tcW w:w="3100" w:type="dxa"/>
            <w:tcBorders>
              <w:top w:val="nil"/>
              <w:left w:val="nil"/>
              <w:bottom w:val="nil"/>
              <w:right w:val="nil"/>
            </w:tcBorders>
            <w:shd w:val="clear" w:color="auto" w:fill="auto"/>
            <w:noWrap/>
            <w:vAlign w:val="center"/>
            <w:hideMark/>
          </w:tcPr>
          <w:p w14:paraId="42686CDB"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p>
        </w:tc>
        <w:tc>
          <w:tcPr>
            <w:tcW w:w="1340" w:type="dxa"/>
            <w:tcBorders>
              <w:top w:val="nil"/>
              <w:left w:val="nil"/>
              <w:bottom w:val="nil"/>
              <w:right w:val="nil"/>
            </w:tcBorders>
            <w:shd w:val="clear" w:color="auto" w:fill="auto"/>
            <w:vAlign w:val="center"/>
            <w:hideMark/>
          </w:tcPr>
          <w:p w14:paraId="3B24E79F" w14:textId="77777777" w:rsidR="00A72BD1" w:rsidRPr="00CC0845" w:rsidRDefault="00A72BD1" w:rsidP="00A72BD1">
            <w:pPr>
              <w:spacing w:after="0" w:line="240" w:lineRule="auto"/>
              <w:rPr>
                <w:rFonts w:ascii="Times New Roman" w:eastAsia="Times New Roman" w:hAnsi="Times New Roman" w:cs="Times New Roman"/>
                <w:sz w:val="24"/>
                <w:szCs w:val="24"/>
                <w:lang w:val="en-GB" w:eastAsia="en-GB"/>
              </w:rPr>
            </w:pPr>
          </w:p>
        </w:tc>
        <w:tc>
          <w:tcPr>
            <w:tcW w:w="280" w:type="dxa"/>
            <w:tcBorders>
              <w:top w:val="nil"/>
              <w:left w:val="nil"/>
              <w:bottom w:val="nil"/>
              <w:right w:val="nil"/>
            </w:tcBorders>
            <w:shd w:val="clear" w:color="auto" w:fill="auto"/>
            <w:vAlign w:val="center"/>
            <w:hideMark/>
          </w:tcPr>
          <w:p w14:paraId="11D6A557" w14:textId="77777777" w:rsidR="00A72BD1" w:rsidRPr="00CC0845" w:rsidRDefault="00A72BD1" w:rsidP="00A72BD1">
            <w:pPr>
              <w:spacing w:after="0" w:line="240" w:lineRule="auto"/>
              <w:jc w:val="center"/>
              <w:rPr>
                <w:rFonts w:ascii="Times New Roman" w:eastAsia="Times New Roman" w:hAnsi="Times New Roman" w:cs="Times New Roman"/>
                <w:sz w:val="24"/>
                <w:szCs w:val="24"/>
                <w:lang w:val="en-GB" w:eastAsia="en-GB"/>
              </w:rPr>
            </w:pPr>
          </w:p>
        </w:tc>
        <w:tc>
          <w:tcPr>
            <w:tcW w:w="1340" w:type="dxa"/>
            <w:tcBorders>
              <w:top w:val="nil"/>
              <w:left w:val="nil"/>
              <w:bottom w:val="nil"/>
              <w:right w:val="nil"/>
            </w:tcBorders>
            <w:shd w:val="clear" w:color="auto" w:fill="auto"/>
            <w:vAlign w:val="center"/>
            <w:hideMark/>
          </w:tcPr>
          <w:p w14:paraId="7291C7A1" w14:textId="77777777" w:rsidR="00A72BD1" w:rsidRPr="00CC0845" w:rsidRDefault="00A72BD1" w:rsidP="00A72BD1">
            <w:pPr>
              <w:spacing w:after="0" w:line="240" w:lineRule="auto"/>
              <w:jc w:val="center"/>
              <w:rPr>
                <w:rFonts w:ascii="Times New Roman" w:eastAsia="Times New Roman" w:hAnsi="Times New Roman" w:cs="Times New Roman"/>
                <w:sz w:val="24"/>
                <w:szCs w:val="24"/>
                <w:lang w:val="en-GB" w:eastAsia="en-GB"/>
              </w:rPr>
            </w:pPr>
          </w:p>
        </w:tc>
      </w:tr>
      <w:tr w:rsidR="00A72BD1" w:rsidRPr="00CC0845" w14:paraId="5FABE455" w14:textId="77777777" w:rsidTr="00A72BD1">
        <w:trPr>
          <w:trHeight w:val="315"/>
          <w:jc w:val="center"/>
        </w:trPr>
        <w:tc>
          <w:tcPr>
            <w:tcW w:w="3100" w:type="dxa"/>
            <w:tcBorders>
              <w:top w:val="nil"/>
              <w:left w:val="nil"/>
              <w:bottom w:val="nil"/>
              <w:right w:val="nil"/>
            </w:tcBorders>
            <w:shd w:val="clear" w:color="auto" w:fill="auto"/>
            <w:noWrap/>
            <w:vAlign w:val="center"/>
            <w:hideMark/>
          </w:tcPr>
          <w:p w14:paraId="0631C928" w14:textId="77777777" w:rsidR="00A72BD1" w:rsidRPr="00CC0845" w:rsidRDefault="00A72BD1" w:rsidP="00A72BD1">
            <w:pPr>
              <w:spacing w:after="0" w:line="240" w:lineRule="auto"/>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val="en-GB" w:eastAsia="en-GB"/>
              </w:rPr>
              <w:t>Technology</w:t>
            </w:r>
          </w:p>
        </w:tc>
        <w:tc>
          <w:tcPr>
            <w:tcW w:w="1340" w:type="dxa"/>
            <w:tcBorders>
              <w:top w:val="nil"/>
              <w:left w:val="nil"/>
              <w:bottom w:val="nil"/>
              <w:right w:val="nil"/>
            </w:tcBorders>
            <w:shd w:val="clear" w:color="auto" w:fill="auto"/>
            <w:vAlign w:val="center"/>
            <w:hideMark/>
          </w:tcPr>
          <w:p w14:paraId="3EFEBF06"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eastAsia="en-GB"/>
              </w:rPr>
              <w:t>31</w:t>
            </w:r>
          </w:p>
        </w:tc>
        <w:tc>
          <w:tcPr>
            <w:tcW w:w="280" w:type="dxa"/>
            <w:tcBorders>
              <w:top w:val="nil"/>
              <w:left w:val="nil"/>
              <w:bottom w:val="nil"/>
              <w:right w:val="nil"/>
            </w:tcBorders>
            <w:shd w:val="clear" w:color="auto" w:fill="auto"/>
            <w:vAlign w:val="center"/>
            <w:hideMark/>
          </w:tcPr>
          <w:p w14:paraId="4DF32B8F"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p>
        </w:tc>
        <w:tc>
          <w:tcPr>
            <w:tcW w:w="1340" w:type="dxa"/>
            <w:tcBorders>
              <w:top w:val="nil"/>
              <w:left w:val="nil"/>
              <w:bottom w:val="nil"/>
              <w:right w:val="nil"/>
            </w:tcBorders>
            <w:shd w:val="clear" w:color="auto" w:fill="auto"/>
            <w:vAlign w:val="center"/>
            <w:hideMark/>
          </w:tcPr>
          <w:p w14:paraId="04DAF9C0"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eastAsia="en-GB"/>
              </w:rPr>
              <w:t>3</w:t>
            </w:r>
          </w:p>
        </w:tc>
      </w:tr>
      <w:tr w:rsidR="00A72BD1" w:rsidRPr="00CC0845" w14:paraId="032B990E" w14:textId="77777777" w:rsidTr="00362332">
        <w:trPr>
          <w:trHeight w:val="74"/>
          <w:jc w:val="center"/>
        </w:trPr>
        <w:tc>
          <w:tcPr>
            <w:tcW w:w="3100" w:type="dxa"/>
            <w:tcBorders>
              <w:top w:val="nil"/>
              <w:left w:val="nil"/>
              <w:bottom w:val="nil"/>
              <w:right w:val="nil"/>
            </w:tcBorders>
            <w:shd w:val="clear" w:color="auto" w:fill="auto"/>
            <w:noWrap/>
            <w:vAlign w:val="center"/>
            <w:hideMark/>
          </w:tcPr>
          <w:p w14:paraId="606389D0"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p>
        </w:tc>
        <w:tc>
          <w:tcPr>
            <w:tcW w:w="1340" w:type="dxa"/>
            <w:tcBorders>
              <w:top w:val="nil"/>
              <w:left w:val="nil"/>
              <w:bottom w:val="nil"/>
              <w:right w:val="nil"/>
            </w:tcBorders>
            <w:shd w:val="clear" w:color="auto" w:fill="auto"/>
            <w:vAlign w:val="center"/>
            <w:hideMark/>
          </w:tcPr>
          <w:p w14:paraId="65AAD0D8" w14:textId="77777777" w:rsidR="00A72BD1" w:rsidRPr="00CC0845" w:rsidRDefault="00A72BD1" w:rsidP="00A72BD1">
            <w:pPr>
              <w:spacing w:after="0" w:line="240" w:lineRule="auto"/>
              <w:rPr>
                <w:rFonts w:ascii="Times New Roman" w:eastAsia="Times New Roman" w:hAnsi="Times New Roman" w:cs="Times New Roman"/>
                <w:sz w:val="24"/>
                <w:szCs w:val="24"/>
                <w:lang w:val="en-GB" w:eastAsia="en-GB"/>
              </w:rPr>
            </w:pPr>
          </w:p>
        </w:tc>
        <w:tc>
          <w:tcPr>
            <w:tcW w:w="280" w:type="dxa"/>
            <w:tcBorders>
              <w:top w:val="nil"/>
              <w:left w:val="nil"/>
              <w:bottom w:val="nil"/>
              <w:right w:val="nil"/>
            </w:tcBorders>
            <w:shd w:val="clear" w:color="auto" w:fill="auto"/>
            <w:vAlign w:val="center"/>
            <w:hideMark/>
          </w:tcPr>
          <w:p w14:paraId="651AD7F7" w14:textId="77777777" w:rsidR="00A72BD1" w:rsidRPr="00CC0845" w:rsidRDefault="00A72BD1" w:rsidP="00A72BD1">
            <w:pPr>
              <w:spacing w:after="0" w:line="240" w:lineRule="auto"/>
              <w:jc w:val="center"/>
              <w:rPr>
                <w:rFonts w:ascii="Times New Roman" w:eastAsia="Times New Roman" w:hAnsi="Times New Roman" w:cs="Times New Roman"/>
                <w:sz w:val="24"/>
                <w:szCs w:val="24"/>
                <w:lang w:val="en-GB" w:eastAsia="en-GB"/>
              </w:rPr>
            </w:pPr>
          </w:p>
        </w:tc>
        <w:tc>
          <w:tcPr>
            <w:tcW w:w="1340" w:type="dxa"/>
            <w:tcBorders>
              <w:top w:val="nil"/>
              <w:left w:val="nil"/>
              <w:bottom w:val="nil"/>
              <w:right w:val="nil"/>
            </w:tcBorders>
            <w:shd w:val="clear" w:color="auto" w:fill="auto"/>
            <w:vAlign w:val="center"/>
            <w:hideMark/>
          </w:tcPr>
          <w:p w14:paraId="51DC1557" w14:textId="77777777" w:rsidR="00A72BD1" w:rsidRPr="00CC0845" w:rsidRDefault="00A72BD1" w:rsidP="00A72BD1">
            <w:pPr>
              <w:spacing w:after="0" w:line="240" w:lineRule="auto"/>
              <w:jc w:val="center"/>
              <w:rPr>
                <w:rFonts w:ascii="Times New Roman" w:eastAsia="Times New Roman" w:hAnsi="Times New Roman" w:cs="Times New Roman"/>
                <w:sz w:val="24"/>
                <w:szCs w:val="24"/>
                <w:lang w:val="en-GB" w:eastAsia="en-GB"/>
              </w:rPr>
            </w:pPr>
          </w:p>
        </w:tc>
      </w:tr>
      <w:tr w:rsidR="00D15086" w:rsidRPr="00CC0845" w14:paraId="6BA00D28" w14:textId="77777777" w:rsidTr="00362332">
        <w:trPr>
          <w:trHeight w:val="74"/>
          <w:jc w:val="center"/>
        </w:trPr>
        <w:tc>
          <w:tcPr>
            <w:tcW w:w="3100" w:type="dxa"/>
            <w:tcBorders>
              <w:top w:val="nil"/>
              <w:left w:val="nil"/>
              <w:bottom w:val="nil"/>
              <w:right w:val="nil"/>
            </w:tcBorders>
            <w:shd w:val="clear" w:color="auto" w:fill="auto"/>
            <w:noWrap/>
            <w:vAlign w:val="center"/>
          </w:tcPr>
          <w:p w14:paraId="4F5D60BA" w14:textId="77777777" w:rsidR="00D15086" w:rsidRPr="00CC0845" w:rsidRDefault="00D15086" w:rsidP="00A72BD1">
            <w:pPr>
              <w:spacing w:after="0" w:line="240" w:lineRule="auto"/>
              <w:jc w:val="center"/>
              <w:rPr>
                <w:rFonts w:ascii="Times New Roman" w:eastAsia="Times New Roman" w:hAnsi="Times New Roman" w:cs="Times New Roman"/>
                <w:color w:val="000000"/>
                <w:sz w:val="24"/>
                <w:szCs w:val="24"/>
                <w:lang w:val="en-GB" w:eastAsia="en-GB"/>
              </w:rPr>
            </w:pPr>
          </w:p>
        </w:tc>
        <w:tc>
          <w:tcPr>
            <w:tcW w:w="1340" w:type="dxa"/>
            <w:tcBorders>
              <w:top w:val="nil"/>
              <w:left w:val="nil"/>
              <w:bottom w:val="nil"/>
              <w:right w:val="nil"/>
            </w:tcBorders>
            <w:shd w:val="clear" w:color="auto" w:fill="auto"/>
            <w:vAlign w:val="center"/>
          </w:tcPr>
          <w:p w14:paraId="4C549177" w14:textId="77777777" w:rsidR="00D15086" w:rsidRPr="00CC0845" w:rsidRDefault="00D15086" w:rsidP="00A72BD1">
            <w:pPr>
              <w:spacing w:after="0" w:line="240" w:lineRule="auto"/>
              <w:rPr>
                <w:rFonts w:ascii="Times New Roman" w:eastAsia="Times New Roman" w:hAnsi="Times New Roman" w:cs="Times New Roman"/>
                <w:sz w:val="24"/>
                <w:szCs w:val="24"/>
                <w:lang w:val="en-GB" w:eastAsia="en-GB"/>
              </w:rPr>
            </w:pPr>
          </w:p>
        </w:tc>
        <w:tc>
          <w:tcPr>
            <w:tcW w:w="280" w:type="dxa"/>
            <w:tcBorders>
              <w:top w:val="nil"/>
              <w:left w:val="nil"/>
              <w:bottom w:val="nil"/>
              <w:right w:val="nil"/>
            </w:tcBorders>
            <w:shd w:val="clear" w:color="auto" w:fill="auto"/>
            <w:vAlign w:val="center"/>
          </w:tcPr>
          <w:p w14:paraId="635D7086" w14:textId="77777777" w:rsidR="00D15086" w:rsidRPr="00CC0845" w:rsidRDefault="00D15086" w:rsidP="00A72BD1">
            <w:pPr>
              <w:spacing w:after="0" w:line="240" w:lineRule="auto"/>
              <w:jc w:val="center"/>
              <w:rPr>
                <w:rFonts w:ascii="Times New Roman" w:eastAsia="Times New Roman" w:hAnsi="Times New Roman" w:cs="Times New Roman"/>
                <w:sz w:val="24"/>
                <w:szCs w:val="24"/>
                <w:lang w:val="en-GB" w:eastAsia="en-GB"/>
              </w:rPr>
            </w:pPr>
          </w:p>
        </w:tc>
        <w:tc>
          <w:tcPr>
            <w:tcW w:w="1340" w:type="dxa"/>
            <w:tcBorders>
              <w:top w:val="nil"/>
              <w:left w:val="nil"/>
              <w:bottom w:val="nil"/>
              <w:right w:val="nil"/>
            </w:tcBorders>
            <w:shd w:val="clear" w:color="auto" w:fill="auto"/>
            <w:vAlign w:val="center"/>
          </w:tcPr>
          <w:p w14:paraId="12B2ACE8" w14:textId="77777777" w:rsidR="00D15086" w:rsidRPr="00CC0845" w:rsidRDefault="00D15086" w:rsidP="00A72BD1">
            <w:pPr>
              <w:spacing w:after="0" w:line="240" w:lineRule="auto"/>
              <w:jc w:val="center"/>
              <w:rPr>
                <w:rFonts w:ascii="Times New Roman" w:eastAsia="Times New Roman" w:hAnsi="Times New Roman" w:cs="Times New Roman"/>
                <w:sz w:val="24"/>
                <w:szCs w:val="24"/>
                <w:lang w:val="en-GB" w:eastAsia="en-GB"/>
              </w:rPr>
            </w:pPr>
          </w:p>
        </w:tc>
      </w:tr>
      <w:tr w:rsidR="00A72BD1" w:rsidRPr="00CC0845" w14:paraId="3DB5E611" w14:textId="77777777" w:rsidTr="00A72BD1">
        <w:trPr>
          <w:trHeight w:val="315"/>
          <w:jc w:val="center"/>
        </w:trPr>
        <w:tc>
          <w:tcPr>
            <w:tcW w:w="3100" w:type="dxa"/>
            <w:tcBorders>
              <w:top w:val="nil"/>
              <w:left w:val="nil"/>
              <w:bottom w:val="nil"/>
              <w:right w:val="nil"/>
            </w:tcBorders>
            <w:shd w:val="clear" w:color="auto" w:fill="auto"/>
            <w:noWrap/>
            <w:vAlign w:val="center"/>
            <w:hideMark/>
          </w:tcPr>
          <w:p w14:paraId="3A9B5786" w14:textId="77777777" w:rsidR="00A72BD1" w:rsidRPr="00CC0845" w:rsidRDefault="00A72BD1" w:rsidP="00A72BD1">
            <w:pPr>
              <w:spacing w:after="0" w:line="240" w:lineRule="auto"/>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val="en-GB" w:eastAsia="en-GB"/>
              </w:rPr>
              <w:t>Travel &amp; Leisure</w:t>
            </w:r>
          </w:p>
        </w:tc>
        <w:tc>
          <w:tcPr>
            <w:tcW w:w="1340" w:type="dxa"/>
            <w:tcBorders>
              <w:top w:val="nil"/>
              <w:left w:val="nil"/>
              <w:bottom w:val="nil"/>
              <w:right w:val="nil"/>
            </w:tcBorders>
            <w:shd w:val="clear" w:color="auto" w:fill="auto"/>
            <w:vAlign w:val="center"/>
            <w:hideMark/>
          </w:tcPr>
          <w:p w14:paraId="74797450"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eastAsia="en-GB"/>
              </w:rPr>
              <w:t>1</w:t>
            </w:r>
          </w:p>
        </w:tc>
        <w:tc>
          <w:tcPr>
            <w:tcW w:w="280" w:type="dxa"/>
            <w:tcBorders>
              <w:top w:val="nil"/>
              <w:left w:val="nil"/>
              <w:bottom w:val="nil"/>
              <w:right w:val="nil"/>
            </w:tcBorders>
            <w:shd w:val="clear" w:color="auto" w:fill="auto"/>
            <w:vAlign w:val="center"/>
            <w:hideMark/>
          </w:tcPr>
          <w:p w14:paraId="72702096"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p>
        </w:tc>
        <w:tc>
          <w:tcPr>
            <w:tcW w:w="1340" w:type="dxa"/>
            <w:tcBorders>
              <w:top w:val="nil"/>
              <w:left w:val="nil"/>
              <w:bottom w:val="nil"/>
              <w:right w:val="nil"/>
            </w:tcBorders>
            <w:shd w:val="clear" w:color="auto" w:fill="auto"/>
            <w:vAlign w:val="center"/>
            <w:hideMark/>
          </w:tcPr>
          <w:p w14:paraId="529F20B0"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eastAsia="en-GB"/>
              </w:rPr>
              <w:t>0</w:t>
            </w:r>
          </w:p>
        </w:tc>
      </w:tr>
      <w:tr w:rsidR="00A72BD1" w:rsidRPr="00CC0845" w14:paraId="786992E3" w14:textId="77777777" w:rsidTr="00A72BD1">
        <w:trPr>
          <w:trHeight w:val="240"/>
          <w:jc w:val="center"/>
        </w:trPr>
        <w:tc>
          <w:tcPr>
            <w:tcW w:w="3100" w:type="dxa"/>
            <w:tcBorders>
              <w:top w:val="nil"/>
              <w:left w:val="nil"/>
              <w:bottom w:val="nil"/>
              <w:right w:val="nil"/>
            </w:tcBorders>
            <w:shd w:val="clear" w:color="auto" w:fill="auto"/>
            <w:noWrap/>
            <w:vAlign w:val="center"/>
            <w:hideMark/>
          </w:tcPr>
          <w:p w14:paraId="0647E3C2"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p>
        </w:tc>
        <w:tc>
          <w:tcPr>
            <w:tcW w:w="1340" w:type="dxa"/>
            <w:tcBorders>
              <w:top w:val="nil"/>
              <w:left w:val="nil"/>
              <w:bottom w:val="nil"/>
              <w:right w:val="nil"/>
            </w:tcBorders>
            <w:shd w:val="clear" w:color="auto" w:fill="auto"/>
            <w:vAlign w:val="center"/>
            <w:hideMark/>
          </w:tcPr>
          <w:p w14:paraId="0EF94B31" w14:textId="77777777" w:rsidR="00A72BD1" w:rsidRPr="00CC0845" w:rsidRDefault="00A72BD1" w:rsidP="00A72BD1">
            <w:pPr>
              <w:spacing w:after="0" w:line="240" w:lineRule="auto"/>
              <w:rPr>
                <w:rFonts w:ascii="Times New Roman" w:eastAsia="Times New Roman" w:hAnsi="Times New Roman" w:cs="Times New Roman"/>
                <w:sz w:val="24"/>
                <w:szCs w:val="24"/>
                <w:lang w:val="en-GB" w:eastAsia="en-GB"/>
              </w:rPr>
            </w:pPr>
          </w:p>
        </w:tc>
        <w:tc>
          <w:tcPr>
            <w:tcW w:w="280" w:type="dxa"/>
            <w:tcBorders>
              <w:top w:val="nil"/>
              <w:left w:val="nil"/>
              <w:bottom w:val="nil"/>
              <w:right w:val="nil"/>
            </w:tcBorders>
            <w:shd w:val="clear" w:color="auto" w:fill="auto"/>
            <w:vAlign w:val="center"/>
            <w:hideMark/>
          </w:tcPr>
          <w:p w14:paraId="0CC655BE" w14:textId="77777777" w:rsidR="00A72BD1" w:rsidRPr="00CC0845" w:rsidRDefault="00A72BD1" w:rsidP="00A72BD1">
            <w:pPr>
              <w:spacing w:after="0" w:line="240" w:lineRule="auto"/>
              <w:jc w:val="center"/>
              <w:rPr>
                <w:rFonts w:ascii="Times New Roman" w:eastAsia="Times New Roman" w:hAnsi="Times New Roman" w:cs="Times New Roman"/>
                <w:sz w:val="24"/>
                <w:szCs w:val="24"/>
                <w:lang w:val="en-GB" w:eastAsia="en-GB"/>
              </w:rPr>
            </w:pPr>
          </w:p>
        </w:tc>
        <w:tc>
          <w:tcPr>
            <w:tcW w:w="1340" w:type="dxa"/>
            <w:tcBorders>
              <w:top w:val="nil"/>
              <w:left w:val="nil"/>
              <w:bottom w:val="nil"/>
              <w:right w:val="nil"/>
            </w:tcBorders>
            <w:shd w:val="clear" w:color="auto" w:fill="auto"/>
            <w:vAlign w:val="center"/>
            <w:hideMark/>
          </w:tcPr>
          <w:p w14:paraId="2FD423AE" w14:textId="77777777" w:rsidR="00A72BD1" w:rsidRPr="00CC0845" w:rsidRDefault="00A72BD1" w:rsidP="00A72BD1">
            <w:pPr>
              <w:spacing w:after="0" w:line="240" w:lineRule="auto"/>
              <w:jc w:val="center"/>
              <w:rPr>
                <w:rFonts w:ascii="Times New Roman" w:eastAsia="Times New Roman" w:hAnsi="Times New Roman" w:cs="Times New Roman"/>
                <w:sz w:val="24"/>
                <w:szCs w:val="24"/>
                <w:lang w:val="en-GB" w:eastAsia="en-GB"/>
              </w:rPr>
            </w:pPr>
          </w:p>
        </w:tc>
      </w:tr>
      <w:tr w:rsidR="00A72BD1" w:rsidRPr="00CC0845" w14:paraId="794AD7AA" w14:textId="77777777" w:rsidTr="00A72BD1">
        <w:trPr>
          <w:trHeight w:val="330"/>
          <w:jc w:val="center"/>
        </w:trPr>
        <w:tc>
          <w:tcPr>
            <w:tcW w:w="3100" w:type="dxa"/>
            <w:tcBorders>
              <w:top w:val="nil"/>
              <w:left w:val="nil"/>
              <w:bottom w:val="nil"/>
              <w:right w:val="nil"/>
            </w:tcBorders>
            <w:shd w:val="clear" w:color="auto" w:fill="auto"/>
            <w:noWrap/>
            <w:vAlign w:val="center"/>
            <w:hideMark/>
          </w:tcPr>
          <w:p w14:paraId="05351604" w14:textId="77777777" w:rsidR="00A72BD1" w:rsidRPr="00CC0845" w:rsidRDefault="00A72BD1" w:rsidP="00A72BD1">
            <w:pPr>
              <w:spacing w:after="0" w:line="240" w:lineRule="auto"/>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eastAsia="en-GB"/>
              </w:rPr>
              <w:t>Utilities</w:t>
            </w:r>
          </w:p>
        </w:tc>
        <w:tc>
          <w:tcPr>
            <w:tcW w:w="1340" w:type="dxa"/>
            <w:tcBorders>
              <w:top w:val="nil"/>
              <w:left w:val="nil"/>
              <w:bottom w:val="single" w:sz="8" w:space="0" w:color="auto"/>
              <w:right w:val="nil"/>
            </w:tcBorders>
            <w:shd w:val="clear" w:color="auto" w:fill="auto"/>
            <w:vAlign w:val="center"/>
            <w:hideMark/>
          </w:tcPr>
          <w:p w14:paraId="609A3B31"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eastAsia="en-GB"/>
              </w:rPr>
              <w:t>1</w:t>
            </w:r>
          </w:p>
        </w:tc>
        <w:tc>
          <w:tcPr>
            <w:tcW w:w="280" w:type="dxa"/>
            <w:tcBorders>
              <w:top w:val="nil"/>
              <w:left w:val="nil"/>
              <w:bottom w:val="single" w:sz="8" w:space="0" w:color="auto"/>
              <w:right w:val="nil"/>
            </w:tcBorders>
            <w:shd w:val="clear" w:color="auto" w:fill="auto"/>
            <w:vAlign w:val="center"/>
            <w:hideMark/>
          </w:tcPr>
          <w:p w14:paraId="17DDB94B"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val="en-GB" w:eastAsia="en-GB"/>
              </w:rPr>
              <w:t> </w:t>
            </w:r>
          </w:p>
        </w:tc>
        <w:tc>
          <w:tcPr>
            <w:tcW w:w="1340" w:type="dxa"/>
            <w:tcBorders>
              <w:top w:val="nil"/>
              <w:left w:val="nil"/>
              <w:bottom w:val="single" w:sz="8" w:space="0" w:color="auto"/>
              <w:right w:val="nil"/>
            </w:tcBorders>
            <w:shd w:val="clear" w:color="auto" w:fill="auto"/>
            <w:vAlign w:val="center"/>
            <w:hideMark/>
          </w:tcPr>
          <w:p w14:paraId="301A3AB4"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eastAsia="en-GB"/>
              </w:rPr>
              <w:t>0</w:t>
            </w:r>
          </w:p>
        </w:tc>
      </w:tr>
      <w:tr w:rsidR="00A72BD1" w:rsidRPr="00CC0845" w14:paraId="442282C3" w14:textId="77777777" w:rsidTr="00A72BD1">
        <w:trPr>
          <w:trHeight w:val="240"/>
          <w:jc w:val="center"/>
        </w:trPr>
        <w:tc>
          <w:tcPr>
            <w:tcW w:w="3100" w:type="dxa"/>
            <w:tcBorders>
              <w:top w:val="nil"/>
              <w:left w:val="nil"/>
              <w:bottom w:val="nil"/>
              <w:right w:val="nil"/>
            </w:tcBorders>
            <w:shd w:val="clear" w:color="auto" w:fill="auto"/>
            <w:noWrap/>
            <w:vAlign w:val="center"/>
            <w:hideMark/>
          </w:tcPr>
          <w:p w14:paraId="47409183" w14:textId="77777777" w:rsidR="00A72BD1" w:rsidRPr="00CC0845" w:rsidRDefault="00A72BD1" w:rsidP="00A72BD1">
            <w:pPr>
              <w:spacing w:after="0" w:line="240" w:lineRule="auto"/>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eastAsia="en-GB"/>
              </w:rPr>
              <w:t xml:space="preserve">     </w:t>
            </w:r>
          </w:p>
        </w:tc>
        <w:tc>
          <w:tcPr>
            <w:tcW w:w="1340" w:type="dxa"/>
            <w:tcBorders>
              <w:top w:val="nil"/>
              <w:left w:val="nil"/>
              <w:bottom w:val="nil"/>
              <w:right w:val="nil"/>
            </w:tcBorders>
            <w:shd w:val="clear" w:color="auto" w:fill="auto"/>
            <w:vAlign w:val="center"/>
            <w:hideMark/>
          </w:tcPr>
          <w:p w14:paraId="131B3911" w14:textId="77777777" w:rsidR="00A72BD1" w:rsidRPr="00CC0845" w:rsidRDefault="00A72BD1" w:rsidP="00A72BD1">
            <w:pPr>
              <w:spacing w:after="0" w:line="240" w:lineRule="auto"/>
              <w:rPr>
                <w:rFonts w:ascii="Times New Roman" w:eastAsia="Times New Roman" w:hAnsi="Times New Roman" w:cs="Times New Roman"/>
                <w:color w:val="000000"/>
                <w:sz w:val="24"/>
                <w:szCs w:val="24"/>
                <w:lang w:val="en-GB" w:eastAsia="en-GB"/>
              </w:rPr>
            </w:pPr>
          </w:p>
        </w:tc>
        <w:tc>
          <w:tcPr>
            <w:tcW w:w="280" w:type="dxa"/>
            <w:tcBorders>
              <w:top w:val="nil"/>
              <w:left w:val="nil"/>
              <w:bottom w:val="nil"/>
              <w:right w:val="nil"/>
            </w:tcBorders>
            <w:shd w:val="clear" w:color="auto" w:fill="auto"/>
            <w:vAlign w:val="center"/>
            <w:hideMark/>
          </w:tcPr>
          <w:p w14:paraId="1668F8ED" w14:textId="77777777" w:rsidR="00A72BD1" w:rsidRPr="00CC0845" w:rsidRDefault="00A72BD1" w:rsidP="00A72BD1">
            <w:pPr>
              <w:spacing w:after="0" w:line="240" w:lineRule="auto"/>
              <w:jc w:val="center"/>
              <w:rPr>
                <w:rFonts w:ascii="Times New Roman" w:eastAsia="Times New Roman" w:hAnsi="Times New Roman" w:cs="Times New Roman"/>
                <w:sz w:val="24"/>
                <w:szCs w:val="24"/>
                <w:lang w:val="en-GB" w:eastAsia="en-GB"/>
              </w:rPr>
            </w:pPr>
          </w:p>
        </w:tc>
        <w:tc>
          <w:tcPr>
            <w:tcW w:w="1340" w:type="dxa"/>
            <w:tcBorders>
              <w:top w:val="nil"/>
              <w:left w:val="nil"/>
              <w:bottom w:val="nil"/>
              <w:right w:val="nil"/>
            </w:tcBorders>
            <w:shd w:val="clear" w:color="auto" w:fill="auto"/>
            <w:vAlign w:val="center"/>
            <w:hideMark/>
          </w:tcPr>
          <w:p w14:paraId="542254F8" w14:textId="77777777" w:rsidR="00A72BD1" w:rsidRPr="00CC0845" w:rsidRDefault="00A72BD1" w:rsidP="00A72BD1">
            <w:pPr>
              <w:spacing w:after="0" w:line="240" w:lineRule="auto"/>
              <w:jc w:val="center"/>
              <w:rPr>
                <w:rFonts w:ascii="Times New Roman" w:eastAsia="Times New Roman" w:hAnsi="Times New Roman" w:cs="Times New Roman"/>
                <w:sz w:val="24"/>
                <w:szCs w:val="24"/>
                <w:lang w:val="en-GB" w:eastAsia="en-GB"/>
              </w:rPr>
            </w:pPr>
          </w:p>
        </w:tc>
      </w:tr>
      <w:tr w:rsidR="00A72BD1" w:rsidRPr="00CC0845" w14:paraId="5D0948DF" w14:textId="77777777" w:rsidTr="00A72BD1">
        <w:trPr>
          <w:trHeight w:val="330"/>
          <w:jc w:val="center"/>
        </w:trPr>
        <w:tc>
          <w:tcPr>
            <w:tcW w:w="3100" w:type="dxa"/>
            <w:tcBorders>
              <w:top w:val="nil"/>
              <w:left w:val="nil"/>
              <w:bottom w:val="nil"/>
              <w:right w:val="nil"/>
            </w:tcBorders>
            <w:shd w:val="clear" w:color="auto" w:fill="auto"/>
            <w:noWrap/>
            <w:vAlign w:val="center"/>
            <w:hideMark/>
          </w:tcPr>
          <w:p w14:paraId="7AFF566B" w14:textId="77777777" w:rsidR="00A72BD1" w:rsidRPr="00CC0845" w:rsidRDefault="00A72BD1" w:rsidP="00A72BD1">
            <w:pPr>
              <w:spacing w:after="0" w:line="240" w:lineRule="auto"/>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eastAsia="en-GB"/>
              </w:rPr>
              <w:t>Total Number of Firms</w:t>
            </w:r>
          </w:p>
        </w:tc>
        <w:tc>
          <w:tcPr>
            <w:tcW w:w="1340" w:type="dxa"/>
            <w:tcBorders>
              <w:top w:val="nil"/>
              <w:left w:val="nil"/>
              <w:bottom w:val="double" w:sz="6" w:space="0" w:color="auto"/>
              <w:right w:val="nil"/>
            </w:tcBorders>
            <w:shd w:val="clear" w:color="auto" w:fill="auto"/>
            <w:vAlign w:val="center"/>
            <w:hideMark/>
          </w:tcPr>
          <w:p w14:paraId="30A33012"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eastAsia="en-GB"/>
              </w:rPr>
              <w:t>82</w:t>
            </w:r>
          </w:p>
        </w:tc>
        <w:tc>
          <w:tcPr>
            <w:tcW w:w="280" w:type="dxa"/>
            <w:tcBorders>
              <w:top w:val="nil"/>
              <w:left w:val="nil"/>
              <w:bottom w:val="double" w:sz="6" w:space="0" w:color="auto"/>
              <w:right w:val="nil"/>
            </w:tcBorders>
            <w:shd w:val="clear" w:color="auto" w:fill="auto"/>
            <w:vAlign w:val="center"/>
            <w:hideMark/>
          </w:tcPr>
          <w:p w14:paraId="7F77FD46"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val="en-GB" w:eastAsia="en-GB"/>
              </w:rPr>
              <w:t> </w:t>
            </w:r>
          </w:p>
        </w:tc>
        <w:tc>
          <w:tcPr>
            <w:tcW w:w="1340" w:type="dxa"/>
            <w:tcBorders>
              <w:top w:val="nil"/>
              <w:left w:val="nil"/>
              <w:bottom w:val="double" w:sz="6" w:space="0" w:color="auto"/>
              <w:right w:val="nil"/>
            </w:tcBorders>
            <w:shd w:val="clear" w:color="auto" w:fill="auto"/>
            <w:vAlign w:val="center"/>
            <w:hideMark/>
          </w:tcPr>
          <w:p w14:paraId="393C655C" w14:textId="77777777" w:rsidR="00A72BD1" w:rsidRPr="00CC0845" w:rsidRDefault="00A72BD1" w:rsidP="00A72BD1">
            <w:pPr>
              <w:spacing w:after="0" w:line="240" w:lineRule="auto"/>
              <w:jc w:val="center"/>
              <w:rPr>
                <w:rFonts w:ascii="Times New Roman" w:eastAsia="Times New Roman" w:hAnsi="Times New Roman" w:cs="Times New Roman"/>
                <w:color w:val="000000"/>
                <w:sz w:val="24"/>
                <w:szCs w:val="24"/>
                <w:lang w:val="en-GB" w:eastAsia="en-GB"/>
              </w:rPr>
            </w:pPr>
            <w:r w:rsidRPr="00CC0845">
              <w:rPr>
                <w:rFonts w:ascii="Times New Roman" w:eastAsia="Times New Roman" w:hAnsi="Times New Roman" w:cs="Times New Roman"/>
                <w:color w:val="000000"/>
                <w:sz w:val="24"/>
                <w:szCs w:val="24"/>
                <w:lang w:eastAsia="en-GB"/>
              </w:rPr>
              <w:t>18</w:t>
            </w:r>
          </w:p>
        </w:tc>
      </w:tr>
    </w:tbl>
    <w:p w14:paraId="16D195B2" w14:textId="23403716" w:rsidR="00A72BD1" w:rsidRDefault="00A72BD1" w:rsidP="00985B47">
      <w:pPr>
        <w:pBdr>
          <w:bottom w:val="single" w:sz="12" w:space="1" w:color="auto"/>
        </w:pBdr>
        <w:contextualSpacing/>
        <w:rPr>
          <w:rFonts w:ascii="Times New Roman" w:hAnsi="Times New Roman" w:cs="Times New Roman"/>
          <w:sz w:val="24"/>
          <w:szCs w:val="24"/>
        </w:rPr>
      </w:pPr>
    </w:p>
    <w:p w14:paraId="3A2692FD" w14:textId="0AF94481" w:rsidR="003808C1" w:rsidRDefault="003808C1" w:rsidP="00CB0943">
      <w:pPr>
        <w:contextualSpacing/>
        <w:jc w:val="both"/>
        <w:rPr>
          <w:rFonts w:ascii="Times New Roman" w:hAnsi="Times New Roman" w:cs="Times New Roman"/>
          <w:sz w:val="24"/>
          <w:szCs w:val="24"/>
        </w:rPr>
      </w:pPr>
      <w:bookmarkStart w:id="10" w:name="_Hlk46656088"/>
      <w:r>
        <w:rPr>
          <w:rFonts w:ascii="Times New Roman" w:hAnsi="Times New Roman" w:cs="Times New Roman"/>
          <w:sz w:val="24"/>
          <w:szCs w:val="24"/>
          <w:vertAlign w:val="superscript"/>
        </w:rPr>
        <w:t>a</w:t>
      </w:r>
      <w:r>
        <w:rPr>
          <w:rFonts w:ascii="Times New Roman" w:hAnsi="Times New Roman" w:cs="Times New Roman"/>
          <w:sz w:val="24"/>
          <w:szCs w:val="24"/>
        </w:rPr>
        <w:t xml:space="preserve">This table reports the number of firms in each industry for switchers and capitalizers. Industry definitions are based on Thomson Reuters Datastream’s level three sector names (INDM3).  See Table 1 for </w:t>
      </w:r>
      <w:r w:rsidR="001832F5">
        <w:rPr>
          <w:rFonts w:ascii="Times New Roman" w:hAnsi="Times New Roman" w:cs="Times New Roman"/>
          <w:sz w:val="24"/>
          <w:szCs w:val="24"/>
        </w:rPr>
        <w:t xml:space="preserve">the definition of switchers and capitalizers and </w:t>
      </w:r>
      <w:r>
        <w:rPr>
          <w:rFonts w:ascii="Times New Roman" w:hAnsi="Times New Roman" w:cs="Times New Roman"/>
          <w:sz w:val="24"/>
          <w:szCs w:val="24"/>
        </w:rPr>
        <w:t>the sample construction</w:t>
      </w:r>
      <w:bookmarkEnd w:id="10"/>
      <w:r>
        <w:rPr>
          <w:rFonts w:ascii="Times New Roman" w:hAnsi="Times New Roman" w:cs="Times New Roman"/>
          <w:sz w:val="24"/>
          <w:szCs w:val="24"/>
        </w:rPr>
        <w:t>.</w:t>
      </w:r>
    </w:p>
    <w:bookmarkEnd w:id="9"/>
    <w:p w14:paraId="74E1C55B" w14:textId="77777777" w:rsidR="003808C1" w:rsidRDefault="003808C1" w:rsidP="00985B47">
      <w:pPr>
        <w:rPr>
          <w:rFonts w:ascii="Times New Roman" w:hAnsi="Times New Roman" w:cs="Times New Roman"/>
          <w:sz w:val="24"/>
          <w:szCs w:val="24"/>
        </w:rPr>
      </w:pPr>
      <w:r>
        <w:rPr>
          <w:rFonts w:ascii="Times New Roman" w:hAnsi="Times New Roman" w:cs="Times New Roman"/>
          <w:sz w:val="24"/>
          <w:szCs w:val="24"/>
        </w:rPr>
        <w:br w:type="page"/>
      </w:r>
    </w:p>
    <w:p w14:paraId="145D1EE9" w14:textId="77777777" w:rsidR="003808C1" w:rsidRDefault="003808C1" w:rsidP="00985B47">
      <w:pPr>
        <w:spacing w:line="240" w:lineRule="auto"/>
        <w:contextualSpacing/>
        <w:jc w:val="center"/>
        <w:outlineLvl w:val="0"/>
        <w:rPr>
          <w:rFonts w:ascii="Times New Roman" w:hAnsi="Times New Roman" w:cs="Times New Roman"/>
          <w:b/>
          <w:bCs/>
          <w:sz w:val="24"/>
          <w:szCs w:val="24"/>
        </w:rPr>
      </w:pPr>
      <w:bookmarkStart w:id="11" w:name="_Hlk25926647"/>
      <w:r>
        <w:rPr>
          <w:rFonts w:ascii="Times New Roman" w:hAnsi="Times New Roman" w:cs="Times New Roman"/>
          <w:b/>
          <w:bCs/>
          <w:sz w:val="24"/>
          <w:szCs w:val="24"/>
        </w:rPr>
        <w:t>Table 3</w:t>
      </w:r>
    </w:p>
    <w:p w14:paraId="53778505" w14:textId="77777777" w:rsidR="003808C1" w:rsidRDefault="003808C1" w:rsidP="00985B47">
      <w:pPr>
        <w:pBdr>
          <w:bottom w:val="single" w:sz="12" w:space="1" w:color="auto"/>
        </w:pBdr>
        <w:spacing w:line="240" w:lineRule="auto"/>
        <w:contextualSpacing/>
        <w:jc w:val="center"/>
        <w:outlineLvl w:val="0"/>
        <w:rPr>
          <w:rFonts w:ascii="Times New Roman" w:hAnsi="Times New Roman" w:cs="Times New Roman"/>
          <w:sz w:val="24"/>
          <w:szCs w:val="24"/>
          <w:vertAlign w:val="superscript"/>
        </w:rPr>
      </w:pPr>
      <w:r>
        <w:rPr>
          <w:rFonts w:ascii="Times New Roman" w:hAnsi="Times New Roman" w:cs="Times New Roman"/>
          <w:b/>
          <w:bCs/>
          <w:sz w:val="24"/>
          <w:szCs w:val="24"/>
        </w:rPr>
        <w:t>Descriptive Statistics</w:t>
      </w:r>
      <w:r>
        <w:rPr>
          <w:rFonts w:ascii="Times New Roman" w:hAnsi="Times New Roman" w:cs="Times New Roman"/>
          <w:b/>
          <w:bCs/>
          <w:sz w:val="24"/>
          <w:szCs w:val="24"/>
          <w:vertAlign w:val="superscript"/>
        </w:rPr>
        <w:t>a</w:t>
      </w:r>
    </w:p>
    <w:p w14:paraId="35646E98" w14:textId="77777777" w:rsidR="00873BC8" w:rsidRDefault="00873BC8" w:rsidP="00873BC8">
      <w:pPr>
        <w:contextualSpacing/>
        <w:rPr>
          <w:rFonts w:ascii="Times New Roman" w:hAnsi="Times New Roman" w:cs="Times New Roman"/>
          <w:b/>
          <w:sz w:val="24"/>
          <w:szCs w:val="24"/>
        </w:rPr>
      </w:pPr>
    </w:p>
    <w:p w14:paraId="74A422E6" w14:textId="77777777" w:rsidR="003808C1" w:rsidRDefault="003808C1" w:rsidP="00873BC8">
      <w:pPr>
        <w:contextualSpacing/>
        <w:rPr>
          <w:rFonts w:ascii="Times New Roman" w:hAnsi="Times New Roman" w:cs="Times New Roman"/>
          <w:b/>
          <w:sz w:val="24"/>
          <w:szCs w:val="24"/>
        </w:rPr>
      </w:pPr>
      <w:r>
        <w:rPr>
          <w:rFonts w:ascii="Times New Roman" w:hAnsi="Times New Roman" w:cs="Times New Roman"/>
          <w:b/>
          <w:sz w:val="24"/>
          <w:szCs w:val="24"/>
        </w:rPr>
        <w:t>Panel A: Capitalizers</w:t>
      </w:r>
    </w:p>
    <w:p w14:paraId="68F389B8" w14:textId="430FB3F4" w:rsidR="00873BC8" w:rsidRDefault="00873BC8" w:rsidP="00873BC8">
      <w:pPr>
        <w:contextualSpacing/>
        <w:rPr>
          <w:rFonts w:ascii="Times New Roman" w:hAnsi="Times New Roman" w:cs="Times New Roman"/>
          <w:b/>
          <w:sz w:val="24"/>
          <w:szCs w:val="24"/>
        </w:rPr>
      </w:pPr>
      <w:bookmarkStart w:id="12" w:name="_Hlk26436028"/>
    </w:p>
    <w:tbl>
      <w:tblPr>
        <w:tblW w:w="11500" w:type="dxa"/>
        <w:jc w:val="center"/>
        <w:tblLayout w:type="fixed"/>
        <w:tblLook w:val="0000" w:firstRow="0" w:lastRow="0" w:firstColumn="0" w:lastColumn="0" w:noHBand="0" w:noVBand="0"/>
      </w:tblPr>
      <w:tblGrid>
        <w:gridCol w:w="1584"/>
        <w:gridCol w:w="236"/>
        <w:gridCol w:w="599"/>
        <w:gridCol w:w="236"/>
        <w:gridCol w:w="1008"/>
        <w:gridCol w:w="236"/>
        <w:gridCol w:w="1008"/>
        <w:gridCol w:w="236"/>
        <w:gridCol w:w="599"/>
        <w:gridCol w:w="236"/>
        <w:gridCol w:w="1008"/>
        <w:gridCol w:w="236"/>
        <w:gridCol w:w="1008"/>
        <w:gridCol w:w="236"/>
        <w:gridCol w:w="1299"/>
        <w:gridCol w:w="236"/>
        <w:gridCol w:w="1499"/>
      </w:tblGrid>
      <w:tr w:rsidR="00590671" w:rsidRPr="004208E0" w14:paraId="312682AA" w14:textId="77777777" w:rsidTr="00590671">
        <w:trPr>
          <w:trHeight w:val="305"/>
          <w:jc w:val="center"/>
        </w:trPr>
        <w:tc>
          <w:tcPr>
            <w:tcW w:w="1584" w:type="dxa"/>
            <w:tcBorders>
              <w:top w:val="nil"/>
              <w:left w:val="nil"/>
              <w:right w:val="nil"/>
            </w:tcBorders>
          </w:tcPr>
          <w:p w14:paraId="4E737C9B" w14:textId="19D17111" w:rsidR="00590671" w:rsidRPr="004208E0" w:rsidRDefault="00590671" w:rsidP="004208E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36" w:type="dxa"/>
            <w:tcBorders>
              <w:top w:val="nil"/>
              <w:left w:val="nil"/>
              <w:right w:val="nil"/>
            </w:tcBorders>
          </w:tcPr>
          <w:p w14:paraId="3F802D69" w14:textId="77777777" w:rsidR="00590671" w:rsidRPr="004208E0" w:rsidRDefault="00590671" w:rsidP="004208E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87" w:type="dxa"/>
            <w:gridSpan w:val="5"/>
            <w:tcBorders>
              <w:top w:val="nil"/>
              <w:left w:val="nil"/>
              <w:bottom w:val="single" w:sz="4" w:space="0" w:color="auto"/>
              <w:right w:val="nil"/>
            </w:tcBorders>
          </w:tcPr>
          <w:p w14:paraId="4D1DE2A0" w14:textId="6245F07C" w:rsidR="00590671" w:rsidRPr="004208E0" w:rsidRDefault="00590671" w:rsidP="004208E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UK GAAP</w:t>
            </w:r>
          </w:p>
        </w:tc>
        <w:tc>
          <w:tcPr>
            <w:tcW w:w="236" w:type="dxa"/>
            <w:tcBorders>
              <w:top w:val="nil"/>
              <w:left w:val="nil"/>
              <w:right w:val="nil"/>
            </w:tcBorders>
          </w:tcPr>
          <w:p w14:paraId="0E8BE74C" w14:textId="77777777" w:rsidR="00590671" w:rsidRPr="004208E0" w:rsidRDefault="00590671" w:rsidP="004208E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87" w:type="dxa"/>
            <w:gridSpan w:val="5"/>
            <w:tcBorders>
              <w:top w:val="nil"/>
              <w:left w:val="nil"/>
              <w:bottom w:val="single" w:sz="4" w:space="0" w:color="auto"/>
              <w:right w:val="nil"/>
            </w:tcBorders>
          </w:tcPr>
          <w:p w14:paraId="60FD6400" w14:textId="73E736DF" w:rsidR="00590671" w:rsidRPr="004208E0" w:rsidRDefault="00590671" w:rsidP="004208E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IFRS</w:t>
            </w:r>
          </w:p>
        </w:tc>
        <w:tc>
          <w:tcPr>
            <w:tcW w:w="236" w:type="dxa"/>
            <w:tcBorders>
              <w:top w:val="nil"/>
              <w:left w:val="nil"/>
              <w:right w:val="nil"/>
            </w:tcBorders>
          </w:tcPr>
          <w:p w14:paraId="73F23E9F" w14:textId="77777777" w:rsidR="00590671" w:rsidRPr="004208E0" w:rsidRDefault="00590671" w:rsidP="004208E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4" w:type="dxa"/>
            <w:gridSpan w:val="3"/>
            <w:tcBorders>
              <w:top w:val="nil"/>
              <w:left w:val="nil"/>
              <w:bottom w:val="single" w:sz="4" w:space="0" w:color="auto"/>
              <w:right w:val="nil"/>
            </w:tcBorders>
          </w:tcPr>
          <w:p w14:paraId="0CB905F7" w14:textId="6329318C" w:rsidR="00590671" w:rsidRPr="004208E0" w:rsidRDefault="00590671" w:rsidP="004208E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IFRS – UK GAAP</w:t>
            </w:r>
          </w:p>
        </w:tc>
      </w:tr>
      <w:tr w:rsidR="004208E0" w:rsidRPr="004208E0" w14:paraId="3A1AED6E" w14:textId="77777777" w:rsidTr="00590671">
        <w:trPr>
          <w:trHeight w:val="305"/>
          <w:jc w:val="center"/>
        </w:trPr>
        <w:tc>
          <w:tcPr>
            <w:tcW w:w="1584" w:type="dxa"/>
            <w:tcBorders>
              <w:left w:val="nil"/>
              <w:bottom w:val="single" w:sz="6" w:space="0" w:color="auto"/>
              <w:right w:val="nil"/>
            </w:tcBorders>
          </w:tcPr>
          <w:p w14:paraId="13471CC7" w14:textId="0A5A28EB" w:rsidR="004208E0" w:rsidRPr="004208E0" w:rsidRDefault="004208E0" w:rsidP="004208E0">
            <w:pPr>
              <w:autoSpaceDE w:val="0"/>
              <w:autoSpaceDN w:val="0"/>
              <w:adjustRightInd w:val="0"/>
              <w:spacing w:after="0" w:line="240" w:lineRule="auto"/>
              <w:jc w:val="center"/>
              <w:rPr>
                <w:rFonts w:ascii="Times New Roman" w:hAnsi="Times New Roman" w:cs="Times New Roman"/>
                <w:b/>
                <w:bCs/>
                <w:color w:val="000000"/>
                <w:sz w:val="24"/>
                <w:szCs w:val="24"/>
              </w:rPr>
            </w:pPr>
            <w:r w:rsidRPr="004208E0">
              <w:rPr>
                <w:rFonts w:ascii="Times New Roman" w:hAnsi="Times New Roman" w:cs="Times New Roman"/>
                <w:b/>
                <w:bCs/>
                <w:color w:val="000000"/>
                <w:sz w:val="24"/>
                <w:szCs w:val="24"/>
              </w:rPr>
              <w:t>Variable</w:t>
            </w:r>
          </w:p>
        </w:tc>
        <w:tc>
          <w:tcPr>
            <w:tcW w:w="236" w:type="dxa"/>
            <w:tcBorders>
              <w:left w:val="nil"/>
              <w:bottom w:val="nil"/>
              <w:right w:val="nil"/>
            </w:tcBorders>
          </w:tcPr>
          <w:p w14:paraId="2A27B152"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99" w:type="dxa"/>
            <w:tcBorders>
              <w:top w:val="single" w:sz="4" w:space="0" w:color="auto"/>
              <w:left w:val="nil"/>
              <w:bottom w:val="single" w:sz="6" w:space="0" w:color="auto"/>
              <w:right w:val="nil"/>
            </w:tcBorders>
          </w:tcPr>
          <w:p w14:paraId="4FCA6503" w14:textId="3FE063C9" w:rsidR="004208E0" w:rsidRPr="004208E0" w:rsidRDefault="004208E0" w:rsidP="004208E0">
            <w:pPr>
              <w:autoSpaceDE w:val="0"/>
              <w:autoSpaceDN w:val="0"/>
              <w:adjustRightInd w:val="0"/>
              <w:spacing w:after="0" w:line="240" w:lineRule="auto"/>
              <w:jc w:val="center"/>
              <w:rPr>
                <w:rFonts w:ascii="Times New Roman" w:hAnsi="Times New Roman" w:cs="Times New Roman"/>
                <w:b/>
                <w:bCs/>
                <w:color w:val="000000"/>
                <w:sz w:val="24"/>
                <w:szCs w:val="24"/>
              </w:rPr>
            </w:pPr>
            <w:r w:rsidRPr="004208E0">
              <w:rPr>
                <w:rFonts w:ascii="Times New Roman" w:hAnsi="Times New Roman" w:cs="Times New Roman"/>
                <w:b/>
                <w:bCs/>
                <w:color w:val="000000"/>
                <w:sz w:val="24"/>
                <w:szCs w:val="24"/>
              </w:rPr>
              <w:t>N</w:t>
            </w:r>
          </w:p>
        </w:tc>
        <w:tc>
          <w:tcPr>
            <w:tcW w:w="236" w:type="dxa"/>
            <w:tcBorders>
              <w:top w:val="single" w:sz="4" w:space="0" w:color="auto"/>
              <w:left w:val="nil"/>
              <w:bottom w:val="nil"/>
              <w:right w:val="nil"/>
            </w:tcBorders>
          </w:tcPr>
          <w:p w14:paraId="22921635"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008" w:type="dxa"/>
            <w:tcBorders>
              <w:top w:val="single" w:sz="4" w:space="0" w:color="auto"/>
              <w:left w:val="nil"/>
              <w:bottom w:val="single" w:sz="6" w:space="0" w:color="auto"/>
              <w:right w:val="nil"/>
            </w:tcBorders>
          </w:tcPr>
          <w:p w14:paraId="596ABB3B" w14:textId="1E60FA80" w:rsidR="004208E0" w:rsidRPr="004208E0" w:rsidRDefault="004208E0" w:rsidP="004208E0">
            <w:pPr>
              <w:autoSpaceDE w:val="0"/>
              <w:autoSpaceDN w:val="0"/>
              <w:adjustRightInd w:val="0"/>
              <w:spacing w:after="0" w:line="240" w:lineRule="auto"/>
              <w:jc w:val="center"/>
              <w:rPr>
                <w:rFonts w:ascii="Times New Roman" w:hAnsi="Times New Roman" w:cs="Times New Roman"/>
                <w:b/>
                <w:bCs/>
                <w:color w:val="000000"/>
                <w:sz w:val="24"/>
                <w:szCs w:val="24"/>
              </w:rPr>
            </w:pPr>
            <w:r w:rsidRPr="004208E0">
              <w:rPr>
                <w:rFonts w:ascii="Times New Roman" w:hAnsi="Times New Roman" w:cs="Times New Roman"/>
                <w:b/>
                <w:bCs/>
                <w:color w:val="000000"/>
                <w:sz w:val="24"/>
                <w:szCs w:val="24"/>
              </w:rPr>
              <w:t>Mean</w:t>
            </w:r>
          </w:p>
        </w:tc>
        <w:tc>
          <w:tcPr>
            <w:tcW w:w="236" w:type="dxa"/>
            <w:tcBorders>
              <w:top w:val="single" w:sz="4" w:space="0" w:color="auto"/>
              <w:left w:val="nil"/>
              <w:bottom w:val="nil"/>
              <w:right w:val="nil"/>
            </w:tcBorders>
          </w:tcPr>
          <w:p w14:paraId="6E9DA750"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008" w:type="dxa"/>
            <w:tcBorders>
              <w:top w:val="single" w:sz="4" w:space="0" w:color="auto"/>
              <w:left w:val="nil"/>
              <w:bottom w:val="single" w:sz="6" w:space="0" w:color="auto"/>
              <w:right w:val="nil"/>
            </w:tcBorders>
          </w:tcPr>
          <w:p w14:paraId="3128A2F2" w14:textId="0976CA3C" w:rsidR="004208E0" w:rsidRPr="004208E0" w:rsidRDefault="004208E0" w:rsidP="004208E0">
            <w:pPr>
              <w:autoSpaceDE w:val="0"/>
              <w:autoSpaceDN w:val="0"/>
              <w:adjustRightInd w:val="0"/>
              <w:spacing w:after="0" w:line="240" w:lineRule="auto"/>
              <w:jc w:val="center"/>
              <w:rPr>
                <w:rFonts w:ascii="Times New Roman" w:hAnsi="Times New Roman" w:cs="Times New Roman"/>
                <w:b/>
                <w:bCs/>
                <w:color w:val="000000"/>
                <w:sz w:val="24"/>
                <w:szCs w:val="24"/>
              </w:rPr>
            </w:pPr>
            <w:r w:rsidRPr="004208E0">
              <w:rPr>
                <w:rFonts w:ascii="Times New Roman" w:hAnsi="Times New Roman" w:cs="Times New Roman"/>
                <w:b/>
                <w:bCs/>
                <w:color w:val="000000"/>
                <w:sz w:val="24"/>
                <w:szCs w:val="24"/>
              </w:rPr>
              <w:t>Median</w:t>
            </w:r>
          </w:p>
        </w:tc>
        <w:tc>
          <w:tcPr>
            <w:tcW w:w="236" w:type="dxa"/>
            <w:tcBorders>
              <w:left w:val="nil"/>
              <w:bottom w:val="nil"/>
              <w:right w:val="nil"/>
            </w:tcBorders>
          </w:tcPr>
          <w:p w14:paraId="7EFFF38E"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99" w:type="dxa"/>
            <w:tcBorders>
              <w:top w:val="single" w:sz="4" w:space="0" w:color="auto"/>
              <w:left w:val="nil"/>
              <w:bottom w:val="single" w:sz="6" w:space="0" w:color="auto"/>
              <w:right w:val="nil"/>
            </w:tcBorders>
          </w:tcPr>
          <w:p w14:paraId="3C2F8007" w14:textId="2D390915" w:rsidR="004208E0" w:rsidRPr="004208E0" w:rsidRDefault="004208E0" w:rsidP="004208E0">
            <w:pPr>
              <w:autoSpaceDE w:val="0"/>
              <w:autoSpaceDN w:val="0"/>
              <w:adjustRightInd w:val="0"/>
              <w:spacing w:after="0" w:line="240" w:lineRule="auto"/>
              <w:jc w:val="center"/>
              <w:rPr>
                <w:rFonts w:ascii="Times New Roman" w:hAnsi="Times New Roman" w:cs="Times New Roman"/>
                <w:b/>
                <w:bCs/>
                <w:color w:val="000000"/>
                <w:sz w:val="24"/>
                <w:szCs w:val="24"/>
              </w:rPr>
            </w:pPr>
            <w:r w:rsidRPr="004208E0">
              <w:rPr>
                <w:rFonts w:ascii="Times New Roman" w:hAnsi="Times New Roman" w:cs="Times New Roman"/>
                <w:b/>
                <w:bCs/>
                <w:color w:val="000000"/>
                <w:sz w:val="24"/>
                <w:szCs w:val="24"/>
              </w:rPr>
              <w:t>N</w:t>
            </w:r>
          </w:p>
        </w:tc>
        <w:tc>
          <w:tcPr>
            <w:tcW w:w="236" w:type="dxa"/>
            <w:tcBorders>
              <w:top w:val="single" w:sz="4" w:space="0" w:color="auto"/>
              <w:left w:val="nil"/>
              <w:bottom w:val="nil"/>
              <w:right w:val="nil"/>
            </w:tcBorders>
          </w:tcPr>
          <w:p w14:paraId="054F66B0"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008" w:type="dxa"/>
            <w:tcBorders>
              <w:top w:val="single" w:sz="4" w:space="0" w:color="auto"/>
              <w:left w:val="nil"/>
              <w:bottom w:val="single" w:sz="6" w:space="0" w:color="auto"/>
              <w:right w:val="nil"/>
            </w:tcBorders>
          </w:tcPr>
          <w:p w14:paraId="52230EC1" w14:textId="001E47B2" w:rsidR="004208E0" w:rsidRPr="004208E0" w:rsidRDefault="004208E0" w:rsidP="004208E0">
            <w:pPr>
              <w:autoSpaceDE w:val="0"/>
              <w:autoSpaceDN w:val="0"/>
              <w:adjustRightInd w:val="0"/>
              <w:spacing w:after="0" w:line="240" w:lineRule="auto"/>
              <w:jc w:val="center"/>
              <w:rPr>
                <w:rFonts w:ascii="Times New Roman" w:hAnsi="Times New Roman" w:cs="Times New Roman"/>
                <w:b/>
                <w:bCs/>
                <w:color w:val="000000"/>
                <w:sz w:val="24"/>
                <w:szCs w:val="24"/>
              </w:rPr>
            </w:pPr>
            <w:r w:rsidRPr="004208E0">
              <w:rPr>
                <w:rFonts w:ascii="Times New Roman" w:hAnsi="Times New Roman" w:cs="Times New Roman"/>
                <w:b/>
                <w:bCs/>
                <w:color w:val="000000"/>
                <w:sz w:val="24"/>
                <w:szCs w:val="24"/>
              </w:rPr>
              <w:t>Mean</w:t>
            </w:r>
          </w:p>
        </w:tc>
        <w:tc>
          <w:tcPr>
            <w:tcW w:w="236" w:type="dxa"/>
            <w:tcBorders>
              <w:top w:val="single" w:sz="4" w:space="0" w:color="auto"/>
              <w:left w:val="nil"/>
              <w:bottom w:val="nil"/>
              <w:right w:val="nil"/>
            </w:tcBorders>
          </w:tcPr>
          <w:p w14:paraId="25F9F162"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008" w:type="dxa"/>
            <w:tcBorders>
              <w:top w:val="single" w:sz="4" w:space="0" w:color="auto"/>
              <w:left w:val="nil"/>
              <w:bottom w:val="single" w:sz="6" w:space="0" w:color="auto"/>
              <w:right w:val="nil"/>
            </w:tcBorders>
          </w:tcPr>
          <w:p w14:paraId="00AE0C54" w14:textId="24B11BB5" w:rsidR="004208E0" w:rsidRPr="004208E0" w:rsidRDefault="004208E0" w:rsidP="004208E0">
            <w:pPr>
              <w:autoSpaceDE w:val="0"/>
              <w:autoSpaceDN w:val="0"/>
              <w:adjustRightInd w:val="0"/>
              <w:spacing w:after="0" w:line="240" w:lineRule="auto"/>
              <w:jc w:val="center"/>
              <w:rPr>
                <w:rFonts w:ascii="Times New Roman" w:hAnsi="Times New Roman" w:cs="Times New Roman"/>
                <w:b/>
                <w:bCs/>
                <w:color w:val="000000"/>
                <w:sz w:val="24"/>
                <w:szCs w:val="24"/>
              </w:rPr>
            </w:pPr>
            <w:r w:rsidRPr="004208E0">
              <w:rPr>
                <w:rFonts w:ascii="Times New Roman" w:hAnsi="Times New Roman" w:cs="Times New Roman"/>
                <w:b/>
                <w:bCs/>
                <w:color w:val="000000"/>
                <w:sz w:val="24"/>
                <w:szCs w:val="24"/>
              </w:rPr>
              <w:t>Median</w:t>
            </w:r>
          </w:p>
        </w:tc>
        <w:tc>
          <w:tcPr>
            <w:tcW w:w="236" w:type="dxa"/>
            <w:tcBorders>
              <w:left w:val="nil"/>
              <w:bottom w:val="nil"/>
              <w:right w:val="nil"/>
            </w:tcBorders>
          </w:tcPr>
          <w:p w14:paraId="301BB02F"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299" w:type="dxa"/>
            <w:tcBorders>
              <w:top w:val="single" w:sz="4" w:space="0" w:color="auto"/>
              <w:left w:val="nil"/>
              <w:bottom w:val="single" w:sz="6" w:space="0" w:color="auto"/>
              <w:right w:val="nil"/>
            </w:tcBorders>
          </w:tcPr>
          <w:p w14:paraId="3142C15C" w14:textId="3980B065" w:rsidR="004208E0" w:rsidRPr="004208E0" w:rsidRDefault="004208E0" w:rsidP="004208E0">
            <w:pPr>
              <w:autoSpaceDE w:val="0"/>
              <w:autoSpaceDN w:val="0"/>
              <w:adjustRightInd w:val="0"/>
              <w:spacing w:after="0" w:line="240" w:lineRule="auto"/>
              <w:jc w:val="center"/>
              <w:rPr>
                <w:rFonts w:ascii="Times New Roman" w:hAnsi="Times New Roman" w:cs="Times New Roman"/>
                <w:b/>
                <w:bCs/>
                <w:color w:val="000000"/>
                <w:sz w:val="24"/>
                <w:szCs w:val="24"/>
              </w:rPr>
            </w:pPr>
            <w:r w:rsidRPr="004208E0">
              <w:rPr>
                <w:rFonts w:ascii="Times New Roman" w:hAnsi="Times New Roman" w:cs="Times New Roman"/>
                <w:b/>
                <w:bCs/>
                <w:color w:val="000000"/>
                <w:sz w:val="24"/>
                <w:szCs w:val="24"/>
              </w:rPr>
              <w:t>Mean diff</w:t>
            </w:r>
          </w:p>
        </w:tc>
        <w:tc>
          <w:tcPr>
            <w:tcW w:w="236" w:type="dxa"/>
            <w:tcBorders>
              <w:top w:val="single" w:sz="4" w:space="0" w:color="auto"/>
              <w:left w:val="nil"/>
              <w:bottom w:val="nil"/>
              <w:right w:val="nil"/>
            </w:tcBorders>
          </w:tcPr>
          <w:p w14:paraId="6900B3EF"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499" w:type="dxa"/>
            <w:tcBorders>
              <w:top w:val="single" w:sz="4" w:space="0" w:color="auto"/>
              <w:left w:val="nil"/>
              <w:bottom w:val="single" w:sz="6" w:space="0" w:color="auto"/>
              <w:right w:val="nil"/>
            </w:tcBorders>
          </w:tcPr>
          <w:p w14:paraId="5B03C149" w14:textId="18FBD90D" w:rsidR="004208E0" w:rsidRPr="004208E0" w:rsidRDefault="004208E0" w:rsidP="004208E0">
            <w:pPr>
              <w:autoSpaceDE w:val="0"/>
              <w:autoSpaceDN w:val="0"/>
              <w:adjustRightInd w:val="0"/>
              <w:spacing w:after="0" w:line="240" w:lineRule="auto"/>
              <w:jc w:val="center"/>
              <w:rPr>
                <w:rFonts w:ascii="Times New Roman" w:hAnsi="Times New Roman" w:cs="Times New Roman"/>
                <w:b/>
                <w:bCs/>
                <w:color w:val="000000"/>
                <w:sz w:val="24"/>
                <w:szCs w:val="24"/>
              </w:rPr>
            </w:pPr>
            <w:r w:rsidRPr="004208E0">
              <w:rPr>
                <w:rFonts w:ascii="Times New Roman" w:hAnsi="Times New Roman" w:cs="Times New Roman"/>
                <w:b/>
                <w:bCs/>
                <w:color w:val="000000"/>
                <w:sz w:val="24"/>
                <w:szCs w:val="24"/>
              </w:rPr>
              <w:t>Median diff</w:t>
            </w:r>
          </w:p>
        </w:tc>
      </w:tr>
      <w:tr w:rsidR="004208E0" w:rsidRPr="004208E0" w14:paraId="35DF452D" w14:textId="77777777" w:rsidTr="004208E0">
        <w:trPr>
          <w:trHeight w:val="305"/>
          <w:jc w:val="center"/>
        </w:trPr>
        <w:tc>
          <w:tcPr>
            <w:tcW w:w="1584" w:type="dxa"/>
            <w:tcBorders>
              <w:top w:val="nil"/>
              <w:left w:val="nil"/>
              <w:bottom w:val="nil"/>
              <w:right w:val="nil"/>
            </w:tcBorders>
          </w:tcPr>
          <w:p w14:paraId="2D6F747F" w14:textId="77777777" w:rsidR="004208E0" w:rsidRPr="004208E0" w:rsidRDefault="004208E0" w:rsidP="004208E0">
            <w:pPr>
              <w:autoSpaceDE w:val="0"/>
              <w:autoSpaceDN w:val="0"/>
              <w:adjustRightInd w:val="0"/>
              <w:spacing w:after="0" w:line="240" w:lineRule="auto"/>
              <w:rPr>
                <w:rFonts w:ascii="Times New Roman" w:hAnsi="Times New Roman" w:cs="Times New Roman"/>
                <w:color w:val="000000"/>
                <w:sz w:val="24"/>
                <w:szCs w:val="24"/>
              </w:rPr>
            </w:pPr>
            <w:r w:rsidRPr="004208E0">
              <w:rPr>
                <w:rFonts w:ascii="Times New Roman" w:hAnsi="Times New Roman" w:cs="Times New Roman"/>
                <w:color w:val="000000"/>
                <w:sz w:val="24"/>
                <w:szCs w:val="24"/>
              </w:rPr>
              <w:t>Share Price</w:t>
            </w:r>
          </w:p>
        </w:tc>
        <w:tc>
          <w:tcPr>
            <w:tcW w:w="236" w:type="dxa"/>
            <w:tcBorders>
              <w:top w:val="nil"/>
              <w:left w:val="nil"/>
              <w:bottom w:val="nil"/>
              <w:right w:val="nil"/>
            </w:tcBorders>
          </w:tcPr>
          <w:p w14:paraId="27D50394" w14:textId="77777777" w:rsidR="004208E0" w:rsidRPr="004208E0" w:rsidRDefault="004208E0" w:rsidP="004208E0">
            <w:pPr>
              <w:autoSpaceDE w:val="0"/>
              <w:autoSpaceDN w:val="0"/>
              <w:adjustRightInd w:val="0"/>
              <w:spacing w:after="0" w:line="240" w:lineRule="auto"/>
              <w:jc w:val="right"/>
              <w:rPr>
                <w:rFonts w:ascii="Times New Roman" w:hAnsi="Times New Roman" w:cs="Times New Roman"/>
                <w:color w:val="000000"/>
                <w:sz w:val="24"/>
                <w:szCs w:val="24"/>
              </w:rPr>
            </w:pPr>
          </w:p>
        </w:tc>
        <w:tc>
          <w:tcPr>
            <w:tcW w:w="599" w:type="dxa"/>
            <w:tcBorders>
              <w:top w:val="nil"/>
              <w:left w:val="nil"/>
              <w:bottom w:val="nil"/>
              <w:right w:val="nil"/>
            </w:tcBorders>
          </w:tcPr>
          <w:p w14:paraId="31F71DA2"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72</w:t>
            </w:r>
          </w:p>
        </w:tc>
        <w:tc>
          <w:tcPr>
            <w:tcW w:w="236" w:type="dxa"/>
            <w:tcBorders>
              <w:top w:val="nil"/>
              <w:left w:val="nil"/>
              <w:bottom w:val="nil"/>
              <w:right w:val="nil"/>
            </w:tcBorders>
          </w:tcPr>
          <w:p w14:paraId="703893A9"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4585A2FF"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4.031</w:t>
            </w:r>
          </w:p>
        </w:tc>
        <w:tc>
          <w:tcPr>
            <w:tcW w:w="236" w:type="dxa"/>
            <w:tcBorders>
              <w:top w:val="nil"/>
              <w:left w:val="nil"/>
              <w:bottom w:val="nil"/>
              <w:right w:val="nil"/>
            </w:tcBorders>
          </w:tcPr>
          <w:p w14:paraId="32CAD9FE"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2B19B872"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4.229</w:t>
            </w:r>
          </w:p>
        </w:tc>
        <w:tc>
          <w:tcPr>
            <w:tcW w:w="236" w:type="dxa"/>
            <w:tcBorders>
              <w:top w:val="nil"/>
              <w:left w:val="nil"/>
              <w:bottom w:val="nil"/>
              <w:right w:val="nil"/>
            </w:tcBorders>
          </w:tcPr>
          <w:p w14:paraId="14C5B8B8"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599" w:type="dxa"/>
            <w:tcBorders>
              <w:top w:val="nil"/>
              <w:left w:val="nil"/>
              <w:bottom w:val="nil"/>
              <w:right w:val="nil"/>
            </w:tcBorders>
          </w:tcPr>
          <w:p w14:paraId="004C3361"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72</w:t>
            </w:r>
          </w:p>
        </w:tc>
        <w:tc>
          <w:tcPr>
            <w:tcW w:w="236" w:type="dxa"/>
            <w:tcBorders>
              <w:top w:val="nil"/>
              <w:left w:val="nil"/>
              <w:bottom w:val="nil"/>
              <w:right w:val="nil"/>
            </w:tcBorders>
          </w:tcPr>
          <w:p w14:paraId="065BBD20"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0873208A"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3.550</w:t>
            </w:r>
          </w:p>
        </w:tc>
        <w:tc>
          <w:tcPr>
            <w:tcW w:w="236" w:type="dxa"/>
            <w:tcBorders>
              <w:top w:val="nil"/>
              <w:left w:val="nil"/>
              <w:bottom w:val="nil"/>
              <w:right w:val="nil"/>
            </w:tcBorders>
          </w:tcPr>
          <w:p w14:paraId="43B3FA8D"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6A9FD185"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3.631</w:t>
            </w:r>
          </w:p>
        </w:tc>
        <w:tc>
          <w:tcPr>
            <w:tcW w:w="236" w:type="dxa"/>
            <w:tcBorders>
              <w:top w:val="nil"/>
              <w:left w:val="nil"/>
              <w:bottom w:val="nil"/>
              <w:right w:val="nil"/>
            </w:tcBorders>
          </w:tcPr>
          <w:p w14:paraId="1035B8D5"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299" w:type="dxa"/>
            <w:tcBorders>
              <w:top w:val="nil"/>
              <w:left w:val="nil"/>
              <w:bottom w:val="nil"/>
              <w:right w:val="nil"/>
            </w:tcBorders>
          </w:tcPr>
          <w:p w14:paraId="78006ADD"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-0.481</w:t>
            </w:r>
          </w:p>
        </w:tc>
        <w:tc>
          <w:tcPr>
            <w:tcW w:w="236" w:type="dxa"/>
            <w:tcBorders>
              <w:top w:val="nil"/>
              <w:left w:val="nil"/>
              <w:bottom w:val="nil"/>
              <w:right w:val="nil"/>
            </w:tcBorders>
          </w:tcPr>
          <w:p w14:paraId="431095EC"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499" w:type="dxa"/>
            <w:tcBorders>
              <w:top w:val="nil"/>
              <w:left w:val="nil"/>
              <w:bottom w:val="nil"/>
              <w:right w:val="nil"/>
            </w:tcBorders>
          </w:tcPr>
          <w:p w14:paraId="6E545F77"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-0.598</w:t>
            </w:r>
          </w:p>
        </w:tc>
      </w:tr>
      <w:tr w:rsidR="004208E0" w:rsidRPr="004208E0" w14:paraId="789C00D8" w14:textId="77777777" w:rsidTr="004208E0">
        <w:trPr>
          <w:trHeight w:val="305"/>
          <w:jc w:val="center"/>
        </w:trPr>
        <w:tc>
          <w:tcPr>
            <w:tcW w:w="1584" w:type="dxa"/>
            <w:tcBorders>
              <w:top w:val="nil"/>
              <w:left w:val="nil"/>
              <w:bottom w:val="nil"/>
              <w:right w:val="nil"/>
            </w:tcBorders>
          </w:tcPr>
          <w:p w14:paraId="516DAD62" w14:textId="77777777" w:rsidR="004208E0" w:rsidRPr="004208E0" w:rsidRDefault="004208E0" w:rsidP="004208E0">
            <w:pPr>
              <w:autoSpaceDE w:val="0"/>
              <w:autoSpaceDN w:val="0"/>
              <w:adjustRightInd w:val="0"/>
              <w:spacing w:after="0" w:line="240" w:lineRule="auto"/>
              <w:rPr>
                <w:rFonts w:ascii="Times New Roman" w:hAnsi="Times New Roman" w:cs="Times New Roman"/>
                <w:color w:val="000000"/>
                <w:sz w:val="24"/>
                <w:szCs w:val="24"/>
              </w:rPr>
            </w:pPr>
            <w:r w:rsidRPr="004208E0">
              <w:rPr>
                <w:rFonts w:ascii="Times New Roman" w:hAnsi="Times New Roman" w:cs="Times New Roman"/>
                <w:color w:val="000000"/>
                <w:sz w:val="24"/>
                <w:szCs w:val="24"/>
              </w:rPr>
              <w:t>MVE</w:t>
            </w:r>
          </w:p>
        </w:tc>
        <w:tc>
          <w:tcPr>
            <w:tcW w:w="236" w:type="dxa"/>
            <w:tcBorders>
              <w:top w:val="nil"/>
              <w:left w:val="nil"/>
              <w:bottom w:val="nil"/>
              <w:right w:val="nil"/>
            </w:tcBorders>
          </w:tcPr>
          <w:p w14:paraId="77A160DD" w14:textId="77777777" w:rsidR="004208E0" w:rsidRPr="004208E0" w:rsidRDefault="004208E0" w:rsidP="004208E0">
            <w:pPr>
              <w:autoSpaceDE w:val="0"/>
              <w:autoSpaceDN w:val="0"/>
              <w:adjustRightInd w:val="0"/>
              <w:spacing w:after="0" w:line="240" w:lineRule="auto"/>
              <w:jc w:val="right"/>
              <w:rPr>
                <w:rFonts w:ascii="Times New Roman" w:hAnsi="Times New Roman" w:cs="Times New Roman"/>
                <w:color w:val="000000"/>
                <w:sz w:val="24"/>
                <w:szCs w:val="24"/>
              </w:rPr>
            </w:pPr>
          </w:p>
        </w:tc>
        <w:tc>
          <w:tcPr>
            <w:tcW w:w="599" w:type="dxa"/>
            <w:tcBorders>
              <w:top w:val="nil"/>
              <w:left w:val="nil"/>
              <w:bottom w:val="nil"/>
              <w:right w:val="nil"/>
            </w:tcBorders>
          </w:tcPr>
          <w:p w14:paraId="050DFD71"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72</w:t>
            </w:r>
          </w:p>
        </w:tc>
        <w:tc>
          <w:tcPr>
            <w:tcW w:w="236" w:type="dxa"/>
            <w:tcBorders>
              <w:top w:val="nil"/>
              <w:left w:val="nil"/>
              <w:bottom w:val="nil"/>
              <w:right w:val="nil"/>
            </w:tcBorders>
          </w:tcPr>
          <w:p w14:paraId="04C094F9"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6B1FBB6B"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3.965</w:t>
            </w:r>
          </w:p>
        </w:tc>
        <w:tc>
          <w:tcPr>
            <w:tcW w:w="236" w:type="dxa"/>
            <w:tcBorders>
              <w:top w:val="nil"/>
              <w:left w:val="nil"/>
              <w:bottom w:val="nil"/>
              <w:right w:val="nil"/>
            </w:tcBorders>
          </w:tcPr>
          <w:p w14:paraId="3B65E318"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4EC5E6DC"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3.737</w:t>
            </w:r>
          </w:p>
        </w:tc>
        <w:tc>
          <w:tcPr>
            <w:tcW w:w="236" w:type="dxa"/>
            <w:tcBorders>
              <w:top w:val="nil"/>
              <w:left w:val="nil"/>
              <w:bottom w:val="nil"/>
              <w:right w:val="nil"/>
            </w:tcBorders>
          </w:tcPr>
          <w:p w14:paraId="19366948"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599" w:type="dxa"/>
            <w:tcBorders>
              <w:top w:val="nil"/>
              <w:left w:val="nil"/>
              <w:bottom w:val="nil"/>
              <w:right w:val="nil"/>
            </w:tcBorders>
          </w:tcPr>
          <w:p w14:paraId="57719D16"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72</w:t>
            </w:r>
          </w:p>
        </w:tc>
        <w:tc>
          <w:tcPr>
            <w:tcW w:w="236" w:type="dxa"/>
            <w:tcBorders>
              <w:top w:val="nil"/>
              <w:left w:val="nil"/>
              <w:bottom w:val="nil"/>
              <w:right w:val="nil"/>
            </w:tcBorders>
          </w:tcPr>
          <w:p w14:paraId="3CA43C18"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03A23C2A"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3.774</w:t>
            </w:r>
          </w:p>
        </w:tc>
        <w:tc>
          <w:tcPr>
            <w:tcW w:w="236" w:type="dxa"/>
            <w:tcBorders>
              <w:top w:val="nil"/>
              <w:left w:val="nil"/>
              <w:bottom w:val="nil"/>
              <w:right w:val="nil"/>
            </w:tcBorders>
          </w:tcPr>
          <w:p w14:paraId="01EAC9C3"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274B01A7"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3.185</w:t>
            </w:r>
          </w:p>
        </w:tc>
        <w:tc>
          <w:tcPr>
            <w:tcW w:w="236" w:type="dxa"/>
            <w:tcBorders>
              <w:top w:val="nil"/>
              <w:left w:val="nil"/>
              <w:bottom w:val="nil"/>
              <w:right w:val="nil"/>
            </w:tcBorders>
          </w:tcPr>
          <w:p w14:paraId="038B25E9"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299" w:type="dxa"/>
            <w:tcBorders>
              <w:top w:val="nil"/>
              <w:left w:val="nil"/>
              <w:bottom w:val="nil"/>
              <w:right w:val="nil"/>
            </w:tcBorders>
          </w:tcPr>
          <w:p w14:paraId="0C3A15A4"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-0.191</w:t>
            </w:r>
          </w:p>
        </w:tc>
        <w:tc>
          <w:tcPr>
            <w:tcW w:w="236" w:type="dxa"/>
            <w:tcBorders>
              <w:top w:val="nil"/>
              <w:left w:val="nil"/>
              <w:bottom w:val="nil"/>
              <w:right w:val="nil"/>
            </w:tcBorders>
          </w:tcPr>
          <w:p w14:paraId="2B5CFEAF"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499" w:type="dxa"/>
            <w:tcBorders>
              <w:top w:val="nil"/>
              <w:left w:val="nil"/>
              <w:bottom w:val="nil"/>
              <w:right w:val="nil"/>
            </w:tcBorders>
          </w:tcPr>
          <w:p w14:paraId="29A34BB4"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-0.551*</w:t>
            </w:r>
          </w:p>
        </w:tc>
      </w:tr>
      <w:tr w:rsidR="004208E0" w:rsidRPr="004208E0" w14:paraId="4FD4A84F" w14:textId="77777777" w:rsidTr="004208E0">
        <w:trPr>
          <w:trHeight w:val="305"/>
          <w:jc w:val="center"/>
        </w:trPr>
        <w:tc>
          <w:tcPr>
            <w:tcW w:w="1584" w:type="dxa"/>
            <w:tcBorders>
              <w:top w:val="nil"/>
              <w:left w:val="nil"/>
              <w:bottom w:val="nil"/>
              <w:right w:val="nil"/>
            </w:tcBorders>
          </w:tcPr>
          <w:p w14:paraId="13D9511D" w14:textId="77777777" w:rsidR="004208E0" w:rsidRPr="004208E0" w:rsidRDefault="004208E0" w:rsidP="004208E0">
            <w:pPr>
              <w:autoSpaceDE w:val="0"/>
              <w:autoSpaceDN w:val="0"/>
              <w:adjustRightInd w:val="0"/>
              <w:spacing w:after="0" w:line="240" w:lineRule="auto"/>
              <w:rPr>
                <w:rFonts w:ascii="Times New Roman" w:hAnsi="Times New Roman" w:cs="Times New Roman"/>
                <w:color w:val="000000"/>
                <w:sz w:val="24"/>
                <w:szCs w:val="24"/>
              </w:rPr>
            </w:pPr>
            <w:r w:rsidRPr="004208E0">
              <w:rPr>
                <w:rFonts w:ascii="Times New Roman" w:hAnsi="Times New Roman" w:cs="Times New Roman"/>
                <w:color w:val="000000"/>
                <w:sz w:val="24"/>
                <w:szCs w:val="24"/>
              </w:rPr>
              <w:t>Sales</w:t>
            </w:r>
          </w:p>
        </w:tc>
        <w:tc>
          <w:tcPr>
            <w:tcW w:w="236" w:type="dxa"/>
            <w:tcBorders>
              <w:top w:val="nil"/>
              <w:left w:val="nil"/>
              <w:bottom w:val="nil"/>
              <w:right w:val="nil"/>
            </w:tcBorders>
          </w:tcPr>
          <w:p w14:paraId="130975B8" w14:textId="77777777" w:rsidR="004208E0" w:rsidRPr="004208E0" w:rsidRDefault="004208E0" w:rsidP="004208E0">
            <w:pPr>
              <w:autoSpaceDE w:val="0"/>
              <w:autoSpaceDN w:val="0"/>
              <w:adjustRightInd w:val="0"/>
              <w:spacing w:after="0" w:line="240" w:lineRule="auto"/>
              <w:jc w:val="right"/>
              <w:rPr>
                <w:rFonts w:ascii="Times New Roman" w:hAnsi="Times New Roman" w:cs="Times New Roman"/>
                <w:color w:val="000000"/>
                <w:sz w:val="24"/>
                <w:szCs w:val="24"/>
              </w:rPr>
            </w:pPr>
          </w:p>
        </w:tc>
        <w:tc>
          <w:tcPr>
            <w:tcW w:w="599" w:type="dxa"/>
            <w:tcBorders>
              <w:top w:val="nil"/>
              <w:left w:val="nil"/>
              <w:bottom w:val="nil"/>
              <w:right w:val="nil"/>
            </w:tcBorders>
          </w:tcPr>
          <w:p w14:paraId="6CF5BF73"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72</w:t>
            </w:r>
          </w:p>
        </w:tc>
        <w:tc>
          <w:tcPr>
            <w:tcW w:w="236" w:type="dxa"/>
            <w:tcBorders>
              <w:top w:val="nil"/>
              <w:left w:val="nil"/>
              <w:bottom w:val="nil"/>
              <w:right w:val="nil"/>
            </w:tcBorders>
          </w:tcPr>
          <w:p w14:paraId="2ABE940B"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6C4227CF"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10.509</w:t>
            </w:r>
          </w:p>
        </w:tc>
        <w:tc>
          <w:tcPr>
            <w:tcW w:w="236" w:type="dxa"/>
            <w:tcBorders>
              <w:top w:val="nil"/>
              <w:left w:val="nil"/>
              <w:bottom w:val="nil"/>
              <w:right w:val="nil"/>
            </w:tcBorders>
          </w:tcPr>
          <w:p w14:paraId="40FE2AC8"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71BC1AC9"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10.455</w:t>
            </w:r>
          </w:p>
        </w:tc>
        <w:tc>
          <w:tcPr>
            <w:tcW w:w="236" w:type="dxa"/>
            <w:tcBorders>
              <w:top w:val="nil"/>
              <w:left w:val="nil"/>
              <w:bottom w:val="nil"/>
              <w:right w:val="nil"/>
            </w:tcBorders>
          </w:tcPr>
          <w:p w14:paraId="585C92F2"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599" w:type="dxa"/>
            <w:tcBorders>
              <w:top w:val="nil"/>
              <w:left w:val="nil"/>
              <w:bottom w:val="nil"/>
              <w:right w:val="nil"/>
            </w:tcBorders>
          </w:tcPr>
          <w:p w14:paraId="727E268D"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72</w:t>
            </w:r>
          </w:p>
        </w:tc>
        <w:tc>
          <w:tcPr>
            <w:tcW w:w="236" w:type="dxa"/>
            <w:tcBorders>
              <w:top w:val="nil"/>
              <w:left w:val="nil"/>
              <w:bottom w:val="nil"/>
              <w:right w:val="nil"/>
            </w:tcBorders>
          </w:tcPr>
          <w:p w14:paraId="6C99EADA"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67D3A24E"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10.587</w:t>
            </w:r>
          </w:p>
        </w:tc>
        <w:tc>
          <w:tcPr>
            <w:tcW w:w="236" w:type="dxa"/>
            <w:tcBorders>
              <w:top w:val="nil"/>
              <w:left w:val="nil"/>
              <w:bottom w:val="nil"/>
              <w:right w:val="nil"/>
            </w:tcBorders>
          </w:tcPr>
          <w:p w14:paraId="3D0686F1"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3E73A803"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9.928</w:t>
            </w:r>
          </w:p>
        </w:tc>
        <w:tc>
          <w:tcPr>
            <w:tcW w:w="236" w:type="dxa"/>
            <w:tcBorders>
              <w:top w:val="nil"/>
              <w:left w:val="nil"/>
              <w:bottom w:val="nil"/>
              <w:right w:val="nil"/>
            </w:tcBorders>
          </w:tcPr>
          <w:p w14:paraId="76015A78"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299" w:type="dxa"/>
            <w:tcBorders>
              <w:top w:val="nil"/>
              <w:left w:val="nil"/>
              <w:bottom w:val="nil"/>
              <w:right w:val="nil"/>
            </w:tcBorders>
          </w:tcPr>
          <w:p w14:paraId="2CF8B690"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0.078</w:t>
            </w:r>
          </w:p>
        </w:tc>
        <w:tc>
          <w:tcPr>
            <w:tcW w:w="236" w:type="dxa"/>
            <w:tcBorders>
              <w:top w:val="nil"/>
              <w:left w:val="nil"/>
              <w:bottom w:val="nil"/>
              <w:right w:val="nil"/>
            </w:tcBorders>
          </w:tcPr>
          <w:p w14:paraId="5C808DA6"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499" w:type="dxa"/>
            <w:tcBorders>
              <w:top w:val="nil"/>
              <w:left w:val="nil"/>
              <w:bottom w:val="nil"/>
              <w:right w:val="nil"/>
            </w:tcBorders>
          </w:tcPr>
          <w:p w14:paraId="4AC70341"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-0.527</w:t>
            </w:r>
          </w:p>
        </w:tc>
      </w:tr>
      <w:tr w:rsidR="004208E0" w:rsidRPr="004208E0" w14:paraId="6D1E44B6" w14:textId="77777777" w:rsidTr="004208E0">
        <w:trPr>
          <w:trHeight w:val="305"/>
          <w:jc w:val="center"/>
        </w:trPr>
        <w:tc>
          <w:tcPr>
            <w:tcW w:w="1584" w:type="dxa"/>
            <w:tcBorders>
              <w:top w:val="nil"/>
              <w:left w:val="nil"/>
              <w:bottom w:val="nil"/>
              <w:right w:val="nil"/>
            </w:tcBorders>
          </w:tcPr>
          <w:p w14:paraId="2C49B46B" w14:textId="77777777" w:rsidR="004208E0" w:rsidRPr="004208E0" w:rsidRDefault="004208E0" w:rsidP="004208E0">
            <w:pPr>
              <w:autoSpaceDE w:val="0"/>
              <w:autoSpaceDN w:val="0"/>
              <w:adjustRightInd w:val="0"/>
              <w:spacing w:after="0" w:line="240" w:lineRule="auto"/>
              <w:rPr>
                <w:rFonts w:ascii="Times New Roman" w:hAnsi="Times New Roman" w:cs="Times New Roman"/>
                <w:color w:val="000000"/>
                <w:sz w:val="24"/>
                <w:szCs w:val="24"/>
              </w:rPr>
            </w:pPr>
            <w:r w:rsidRPr="004208E0">
              <w:rPr>
                <w:rFonts w:ascii="Times New Roman" w:hAnsi="Times New Roman" w:cs="Times New Roman"/>
                <w:color w:val="000000"/>
                <w:sz w:val="24"/>
                <w:szCs w:val="24"/>
              </w:rPr>
              <w:t>Assets</w:t>
            </w:r>
          </w:p>
        </w:tc>
        <w:tc>
          <w:tcPr>
            <w:tcW w:w="236" w:type="dxa"/>
            <w:tcBorders>
              <w:top w:val="nil"/>
              <w:left w:val="nil"/>
              <w:bottom w:val="nil"/>
              <w:right w:val="nil"/>
            </w:tcBorders>
          </w:tcPr>
          <w:p w14:paraId="229B3EEB" w14:textId="77777777" w:rsidR="004208E0" w:rsidRPr="004208E0" w:rsidRDefault="004208E0" w:rsidP="004208E0">
            <w:pPr>
              <w:autoSpaceDE w:val="0"/>
              <w:autoSpaceDN w:val="0"/>
              <w:adjustRightInd w:val="0"/>
              <w:spacing w:after="0" w:line="240" w:lineRule="auto"/>
              <w:jc w:val="right"/>
              <w:rPr>
                <w:rFonts w:ascii="Times New Roman" w:hAnsi="Times New Roman" w:cs="Times New Roman"/>
                <w:color w:val="000000"/>
                <w:sz w:val="24"/>
                <w:szCs w:val="24"/>
              </w:rPr>
            </w:pPr>
          </w:p>
        </w:tc>
        <w:tc>
          <w:tcPr>
            <w:tcW w:w="599" w:type="dxa"/>
            <w:tcBorders>
              <w:top w:val="nil"/>
              <w:left w:val="nil"/>
              <w:bottom w:val="nil"/>
              <w:right w:val="nil"/>
            </w:tcBorders>
          </w:tcPr>
          <w:p w14:paraId="38C9933D"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72</w:t>
            </w:r>
          </w:p>
        </w:tc>
        <w:tc>
          <w:tcPr>
            <w:tcW w:w="236" w:type="dxa"/>
            <w:tcBorders>
              <w:top w:val="nil"/>
              <w:left w:val="nil"/>
              <w:bottom w:val="nil"/>
              <w:right w:val="nil"/>
            </w:tcBorders>
          </w:tcPr>
          <w:p w14:paraId="28226B25"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4B753811"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10.751</w:t>
            </w:r>
          </w:p>
        </w:tc>
        <w:tc>
          <w:tcPr>
            <w:tcW w:w="236" w:type="dxa"/>
            <w:tcBorders>
              <w:top w:val="nil"/>
              <w:left w:val="nil"/>
              <w:bottom w:val="nil"/>
              <w:right w:val="nil"/>
            </w:tcBorders>
          </w:tcPr>
          <w:p w14:paraId="6AF4C4E8"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4B32E53A"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10.457</w:t>
            </w:r>
          </w:p>
        </w:tc>
        <w:tc>
          <w:tcPr>
            <w:tcW w:w="236" w:type="dxa"/>
            <w:tcBorders>
              <w:top w:val="nil"/>
              <w:left w:val="nil"/>
              <w:bottom w:val="nil"/>
              <w:right w:val="nil"/>
            </w:tcBorders>
          </w:tcPr>
          <w:p w14:paraId="7A90C01A"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599" w:type="dxa"/>
            <w:tcBorders>
              <w:top w:val="nil"/>
              <w:left w:val="nil"/>
              <w:bottom w:val="nil"/>
              <w:right w:val="nil"/>
            </w:tcBorders>
          </w:tcPr>
          <w:p w14:paraId="1E26A414"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72</w:t>
            </w:r>
          </w:p>
        </w:tc>
        <w:tc>
          <w:tcPr>
            <w:tcW w:w="236" w:type="dxa"/>
            <w:tcBorders>
              <w:top w:val="nil"/>
              <w:left w:val="nil"/>
              <w:bottom w:val="nil"/>
              <w:right w:val="nil"/>
            </w:tcBorders>
          </w:tcPr>
          <w:p w14:paraId="4B7145D8"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53913A3F"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10.951</w:t>
            </w:r>
          </w:p>
        </w:tc>
        <w:tc>
          <w:tcPr>
            <w:tcW w:w="236" w:type="dxa"/>
            <w:tcBorders>
              <w:top w:val="nil"/>
              <w:left w:val="nil"/>
              <w:bottom w:val="nil"/>
              <w:right w:val="nil"/>
            </w:tcBorders>
          </w:tcPr>
          <w:p w14:paraId="0574675F"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5DAE4AE0"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10.567</w:t>
            </w:r>
          </w:p>
        </w:tc>
        <w:tc>
          <w:tcPr>
            <w:tcW w:w="236" w:type="dxa"/>
            <w:tcBorders>
              <w:top w:val="nil"/>
              <w:left w:val="nil"/>
              <w:bottom w:val="nil"/>
              <w:right w:val="nil"/>
            </w:tcBorders>
          </w:tcPr>
          <w:p w14:paraId="027B6964"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299" w:type="dxa"/>
            <w:tcBorders>
              <w:top w:val="nil"/>
              <w:left w:val="nil"/>
              <w:bottom w:val="nil"/>
              <w:right w:val="nil"/>
            </w:tcBorders>
          </w:tcPr>
          <w:p w14:paraId="5386D806"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0.200</w:t>
            </w:r>
          </w:p>
        </w:tc>
        <w:tc>
          <w:tcPr>
            <w:tcW w:w="236" w:type="dxa"/>
            <w:tcBorders>
              <w:top w:val="nil"/>
              <w:left w:val="nil"/>
              <w:bottom w:val="nil"/>
              <w:right w:val="nil"/>
            </w:tcBorders>
          </w:tcPr>
          <w:p w14:paraId="771A4EF2"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499" w:type="dxa"/>
            <w:tcBorders>
              <w:top w:val="nil"/>
              <w:left w:val="nil"/>
              <w:bottom w:val="nil"/>
              <w:right w:val="nil"/>
            </w:tcBorders>
          </w:tcPr>
          <w:p w14:paraId="475398EB"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0.110</w:t>
            </w:r>
          </w:p>
        </w:tc>
      </w:tr>
      <w:tr w:rsidR="004208E0" w:rsidRPr="004208E0" w14:paraId="617C5C21" w14:textId="77777777" w:rsidTr="004208E0">
        <w:trPr>
          <w:trHeight w:val="305"/>
          <w:jc w:val="center"/>
        </w:trPr>
        <w:tc>
          <w:tcPr>
            <w:tcW w:w="1584" w:type="dxa"/>
            <w:tcBorders>
              <w:top w:val="nil"/>
              <w:left w:val="nil"/>
              <w:bottom w:val="nil"/>
              <w:right w:val="nil"/>
            </w:tcBorders>
          </w:tcPr>
          <w:p w14:paraId="3D3EF60D" w14:textId="77777777" w:rsidR="004208E0" w:rsidRPr="004208E0" w:rsidRDefault="004208E0" w:rsidP="004208E0">
            <w:pPr>
              <w:autoSpaceDE w:val="0"/>
              <w:autoSpaceDN w:val="0"/>
              <w:adjustRightInd w:val="0"/>
              <w:spacing w:after="0" w:line="240" w:lineRule="auto"/>
              <w:rPr>
                <w:rFonts w:ascii="Times New Roman" w:hAnsi="Times New Roman" w:cs="Times New Roman"/>
                <w:color w:val="000000"/>
                <w:sz w:val="24"/>
                <w:szCs w:val="24"/>
              </w:rPr>
            </w:pPr>
            <w:r w:rsidRPr="004208E0">
              <w:rPr>
                <w:rFonts w:ascii="Times New Roman" w:hAnsi="Times New Roman" w:cs="Times New Roman"/>
                <w:color w:val="000000"/>
                <w:sz w:val="24"/>
                <w:szCs w:val="24"/>
              </w:rPr>
              <w:t>Earnings</w:t>
            </w:r>
          </w:p>
        </w:tc>
        <w:tc>
          <w:tcPr>
            <w:tcW w:w="236" w:type="dxa"/>
            <w:tcBorders>
              <w:top w:val="nil"/>
              <w:left w:val="nil"/>
              <w:bottom w:val="nil"/>
              <w:right w:val="nil"/>
            </w:tcBorders>
          </w:tcPr>
          <w:p w14:paraId="337214FC" w14:textId="77777777" w:rsidR="004208E0" w:rsidRPr="004208E0" w:rsidRDefault="004208E0" w:rsidP="004208E0">
            <w:pPr>
              <w:autoSpaceDE w:val="0"/>
              <w:autoSpaceDN w:val="0"/>
              <w:adjustRightInd w:val="0"/>
              <w:spacing w:after="0" w:line="240" w:lineRule="auto"/>
              <w:jc w:val="right"/>
              <w:rPr>
                <w:rFonts w:ascii="Times New Roman" w:hAnsi="Times New Roman" w:cs="Times New Roman"/>
                <w:color w:val="000000"/>
                <w:sz w:val="24"/>
                <w:szCs w:val="24"/>
              </w:rPr>
            </w:pPr>
          </w:p>
        </w:tc>
        <w:tc>
          <w:tcPr>
            <w:tcW w:w="599" w:type="dxa"/>
            <w:tcBorders>
              <w:top w:val="nil"/>
              <w:left w:val="nil"/>
              <w:bottom w:val="nil"/>
              <w:right w:val="nil"/>
            </w:tcBorders>
          </w:tcPr>
          <w:p w14:paraId="3A9BCD3B"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72</w:t>
            </w:r>
          </w:p>
        </w:tc>
        <w:tc>
          <w:tcPr>
            <w:tcW w:w="236" w:type="dxa"/>
            <w:tcBorders>
              <w:top w:val="nil"/>
              <w:left w:val="nil"/>
              <w:bottom w:val="nil"/>
              <w:right w:val="nil"/>
            </w:tcBorders>
          </w:tcPr>
          <w:p w14:paraId="061D276E"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277E5605"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5.388</w:t>
            </w:r>
          </w:p>
        </w:tc>
        <w:tc>
          <w:tcPr>
            <w:tcW w:w="236" w:type="dxa"/>
            <w:tcBorders>
              <w:top w:val="nil"/>
              <w:left w:val="nil"/>
              <w:bottom w:val="nil"/>
              <w:right w:val="nil"/>
            </w:tcBorders>
          </w:tcPr>
          <w:p w14:paraId="34B6B3FE"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6023D743"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0.568</w:t>
            </w:r>
          </w:p>
        </w:tc>
        <w:tc>
          <w:tcPr>
            <w:tcW w:w="236" w:type="dxa"/>
            <w:tcBorders>
              <w:top w:val="nil"/>
              <w:left w:val="nil"/>
              <w:bottom w:val="nil"/>
              <w:right w:val="nil"/>
            </w:tcBorders>
          </w:tcPr>
          <w:p w14:paraId="5A0603D3"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599" w:type="dxa"/>
            <w:tcBorders>
              <w:top w:val="nil"/>
              <w:left w:val="nil"/>
              <w:bottom w:val="nil"/>
              <w:right w:val="nil"/>
            </w:tcBorders>
          </w:tcPr>
          <w:p w14:paraId="33CD915E"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72</w:t>
            </w:r>
          </w:p>
        </w:tc>
        <w:tc>
          <w:tcPr>
            <w:tcW w:w="236" w:type="dxa"/>
            <w:tcBorders>
              <w:top w:val="nil"/>
              <w:left w:val="nil"/>
              <w:bottom w:val="nil"/>
              <w:right w:val="nil"/>
            </w:tcBorders>
          </w:tcPr>
          <w:p w14:paraId="704E8336"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0F0C9413"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25.514</w:t>
            </w:r>
          </w:p>
        </w:tc>
        <w:tc>
          <w:tcPr>
            <w:tcW w:w="236" w:type="dxa"/>
            <w:tcBorders>
              <w:top w:val="nil"/>
              <w:left w:val="nil"/>
              <w:bottom w:val="nil"/>
              <w:right w:val="nil"/>
            </w:tcBorders>
          </w:tcPr>
          <w:p w14:paraId="70994E47"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445CEE88"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0.155</w:t>
            </w:r>
          </w:p>
        </w:tc>
        <w:tc>
          <w:tcPr>
            <w:tcW w:w="236" w:type="dxa"/>
            <w:tcBorders>
              <w:top w:val="nil"/>
              <w:left w:val="nil"/>
              <w:bottom w:val="nil"/>
              <w:right w:val="nil"/>
            </w:tcBorders>
          </w:tcPr>
          <w:p w14:paraId="3C37B13F"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299" w:type="dxa"/>
            <w:tcBorders>
              <w:top w:val="nil"/>
              <w:left w:val="nil"/>
              <w:bottom w:val="nil"/>
              <w:right w:val="nil"/>
            </w:tcBorders>
          </w:tcPr>
          <w:p w14:paraId="3F978F8F"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20.126</w:t>
            </w:r>
          </w:p>
        </w:tc>
        <w:tc>
          <w:tcPr>
            <w:tcW w:w="236" w:type="dxa"/>
            <w:tcBorders>
              <w:top w:val="nil"/>
              <w:left w:val="nil"/>
              <w:bottom w:val="nil"/>
              <w:right w:val="nil"/>
            </w:tcBorders>
          </w:tcPr>
          <w:p w14:paraId="346B3A57"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499" w:type="dxa"/>
            <w:tcBorders>
              <w:top w:val="nil"/>
              <w:left w:val="nil"/>
              <w:bottom w:val="nil"/>
              <w:right w:val="nil"/>
            </w:tcBorders>
          </w:tcPr>
          <w:p w14:paraId="10A9E9D5"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-0.413</w:t>
            </w:r>
          </w:p>
        </w:tc>
      </w:tr>
      <w:tr w:rsidR="004208E0" w:rsidRPr="004208E0" w14:paraId="373CDEFF" w14:textId="77777777" w:rsidTr="004208E0">
        <w:trPr>
          <w:trHeight w:val="305"/>
          <w:jc w:val="center"/>
        </w:trPr>
        <w:tc>
          <w:tcPr>
            <w:tcW w:w="1584" w:type="dxa"/>
            <w:tcBorders>
              <w:top w:val="nil"/>
              <w:left w:val="nil"/>
              <w:bottom w:val="nil"/>
              <w:right w:val="nil"/>
            </w:tcBorders>
          </w:tcPr>
          <w:p w14:paraId="7AE75053" w14:textId="77777777" w:rsidR="004208E0" w:rsidRPr="004208E0" w:rsidRDefault="004208E0" w:rsidP="004208E0">
            <w:pPr>
              <w:autoSpaceDE w:val="0"/>
              <w:autoSpaceDN w:val="0"/>
              <w:adjustRightInd w:val="0"/>
              <w:spacing w:after="0" w:line="240" w:lineRule="auto"/>
              <w:rPr>
                <w:rFonts w:ascii="Times New Roman" w:hAnsi="Times New Roman" w:cs="Times New Roman"/>
                <w:color w:val="000000"/>
                <w:sz w:val="24"/>
                <w:szCs w:val="24"/>
              </w:rPr>
            </w:pPr>
            <w:r w:rsidRPr="004208E0">
              <w:rPr>
                <w:rFonts w:ascii="Times New Roman" w:hAnsi="Times New Roman" w:cs="Times New Roman"/>
                <w:color w:val="000000"/>
                <w:sz w:val="24"/>
                <w:szCs w:val="24"/>
              </w:rPr>
              <w:t>Sales Growth</w:t>
            </w:r>
          </w:p>
        </w:tc>
        <w:tc>
          <w:tcPr>
            <w:tcW w:w="236" w:type="dxa"/>
            <w:tcBorders>
              <w:top w:val="nil"/>
              <w:left w:val="nil"/>
              <w:bottom w:val="nil"/>
              <w:right w:val="nil"/>
            </w:tcBorders>
          </w:tcPr>
          <w:p w14:paraId="17018767" w14:textId="77777777" w:rsidR="004208E0" w:rsidRPr="004208E0" w:rsidRDefault="004208E0" w:rsidP="004208E0">
            <w:pPr>
              <w:autoSpaceDE w:val="0"/>
              <w:autoSpaceDN w:val="0"/>
              <w:adjustRightInd w:val="0"/>
              <w:spacing w:after="0" w:line="240" w:lineRule="auto"/>
              <w:jc w:val="right"/>
              <w:rPr>
                <w:rFonts w:ascii="Times New Roman" w:hAnsi="Times New Roman" w:cs="Times New Roman"/>
                <w:color w:val="000000"/>
                <w:sz w:val="24"/>
                <w:szCs w:val="24"/>
              </w:rPr>
            </w:pPr>
          </w:p>
        </w:tc>
        <w:tc>
          <w:tcPr>
            <w:tcW w:w="599" w:type="dxa"/>
            <w:tcBorders>
              <w:top w:val="nil"/>
              <w:left w:val="nil"/>
              <w:bottom w:val="nil"/>
              <w:right w:val="nil"/>
            </w:tcBorders>
          </w:tcPr>
          <w:p w14:paraId="30B428A6"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72</w:t>
            </w:r>
          </w:p>
        </w:tc>
        <w:tc>
          <w:tcPr>
            <w:tcW w:w="236" w:type="dxa"/>
            <w:tcBorders>
              <w:top w:val="nil"/>
              <w:left w:val="nil"/>
              <w:bottom w:val="nil"/>
              <w:right w:val="nil"/>
            </w:tcBorders>
          </w:tcPr>
          <w:p w14:paraId="0A8844EB"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28C8B254"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0.150</w:t>
            </w:r>
          </w:p>
        </w:tc>
        <w:tc>
          <w:tcPr>
            <w:tcW w:w="236" w:type="dxa"/>
            <w:tcBorders>
              <w:top w:val="nil"/>
              <w:left w:val="nil"/>
              <w:bottom w:val="nil"/>
              <w:right w:val="nil"/>
            </w:tcBorders>
          </w:tcPr>
          <w:p w14:paraId="366E1AE1"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390A05D3"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0.076</w:t>
            </w:r>
          </w:p>
        </w:tc>
        <w:tc>
          <w:tcPr>
            <w:tcW w:w="236" w:type="dxa"/>
            <w:tcBorders>
              <w:top w:val="nil"/>
              <w:left w:val="nil"/>
              <w:bottom w:val="nil"/>
              <w:right w:val="nil"/>
            </w:tcBorders>
          </w:tcPr>
          <w:p w14:paraId="508E528F"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599" w:type="dxa"/>
            <w:tcBorders>
              <w:top w:val="nil"/>
              <w:left w:val="nil"/>
              <w:bottom w:val="nil"/>
              <w:right w:val="nil"/>
            </w:tcBorders>
          </w:tcPr>
          <w:p w14:paraId="7F0208CB"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72</w:t>
            </w:r>
          </w:p>
        </w:tc>
        <w:tc>
          <w:tcPr>
            <w:tcW w:w="236" w:type="dxa"/>
            <w:tcBorders>
              <w:top w:val="nil"/>
              <w:left w:val="nil"/>
              <w:bottom w:val="nil"/>
              <w:right w:val="nil"/>
            </w:tcBorders>
          </w:tcPr>
          <w:p w14:paraId="0C185394"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1C4B03C0"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0.127</w:t>
            </w:r>
          </w:p>
        </w:tc>
        <w:tc>
          <w:tcPr>
            <w:tcW w:w="236" w:type="dxa"/>
            <w:tcBorders>
              <w:top w:val="nil"/>
              <w:left w:val="nil"/>
              <w:bottom w:val="nil"/>
              <w:right w:val="nil"/>
            </w:tcBorders>
          </w:tcPr>
          <w:p w14:paraId="04DB8BF5"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7594FA1C"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0.111</w:t>
            </w:r>
          </w:p>
        </w:tc>
        <w:tc>
          <w:tcPr>
            <w:tcW w:w="236" w:type="dxa"/>
            <w:tcBorders>
              <w:top w:val="nil"/>
              <w:left w:val="nil"/>
              <w:bottom w:val="nil"/>
              <w:right w:val="nil"/>
            </w:tcBorders>
          </w:tcPr>
          <w:p w14:paraId="6F4C08A4"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299" w:type="dxa"/>
            <w:tcBorders>
              <w:top w:val="nil"/>
              <w:left w:val="nil"/>
              <w:bottom w:val="nil"/>
              <w:right w:val="nil"/>
            </w:tcBorders>
          </w:tcPr>
          <w:p w14:paraId="52F4812D"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-0.024</w:t>
            </w:r>
          </w:p>
        </w:tc>
        <w:tc>
          <w:tcPr>
            <w:tcW w:w="236" w:type="dxa"/>
            <w:tcBorders>
              <w:top w:val="nil"/>
              <w:left w:val="nil"/>
              <w:bottom w:val="nil"/>
              <w:right w:val="nil"/>
            </w:tcBorders>
          </w:tcPr>
          <w:p w14:paraId="090C7018"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499" w:type="dxa"/>
            <w:tcBorders>
              <w:top w:val="nil"/>
              <w:left w:val="nil"/>
              <w:bottom w:val="nil"/>
              <w:right w:val="nil"/>
            </w:tcBorders>
          </w:tcPr>
          <w:p w14:paraId="3D350CE7"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0.035</w:t>
            </w:r>
          </w:p>
        </w:tc>
      </w:tr>
      <w:tr w:rsidR="004208E0" w:rsidRPr="004208E0" w14:paraId="09B1FB73" w14:textId="77777777" w:rsidTr="004208E0">
        <w:trPr>
          <w:trHeight w:val="305"/>
          <w:jc w:val="center"/>
        </w:trPr>
        <w:tc>
          <w:tcPr>
            <w:tcW w:w="1584" w:type="dxa"/>
            <w:tcBorders>
              <w:top w:val="nil"/>
              <w:left w:val="nil"/>
              <w:bottom w:val="nil"/>
              <w:right w:val="nil"/>
            </w:tcBorders>
          </w:tcPr>
          <w:p w14:paraId="3543B7C0" w14:textId="77777777" w:rsidR="004208E0" w:rsidRPr="004208E0" w:rsidRDefault="004208E0" w:rsidP="004208E0">
            <w:pPr>
              <w:autoSpaceDE w:val="0"/>
              <w:autoSpaceDN w:val="0"/>
              <w:adjustRightInd w:val="0"/>
              <w:spacing w:after="0" w:line="240" w:lineRule="auto"/>
              <w:rPr>
                <w:rFonts w:ascii="Times New Roman" w:hAnsi="Times New Roman" w:cs="Times New Roman"/>
                <w:color w:val="000000"/>
                <w:sz w:val="24"/>
                <w:szCs w:val="24"/>
              </w:rPr>
            </w:pPr>
            <w:r w:rsidRPr="004208E0">
              <w:rPr>
                <w:rFonts w:ascii="Times New Roman" w:hAnsi="Times New Roman" w:cs="Times New Roman"/>
                <w:color w:val="000000"/>
                <w:sz w:val="24"/>
                <w:szCs w:val="24"/>
              </w:rPr>
              <w:t>RD_Gwth</w:t>
            </w:r>
          </w:p>
        </w:tc>
        <w:tc>
          <w:tcPr>
            <w:tcW w:w="236" w:type="dxa"/>
            <w:tcBorders>
              <w:top w:val="nil"/>
              <w:left w:val="nil"/>
              <w:bottom w:val="nil"/>
              <w:right w:val="nil"/>
            </w:tcBorders>
          </w:tcPr>
          <w:p w14:paraId="01ED15CC" w14:textId="77777777" w:rsidR="004208E0" w:rsidRPr="004208E0" w:rsidRDefault="004208E0" w:rsidP="004208E0">
            <w:pPr>
              <w:autoSpaceDE w:val="0"/>
              <w:autoSpaceDN w:val="0"/>
              <w:adjustRightInd w:val="0"/>
              <w:spacing w:after="0" w:line="240" w:lineRule="auto"/>
              <w:jc w:val="right"/>
              <w:rPr>
                <w:rFonts w:ascii="Times New Roman" w:hAnsi="Times New Roman" w:cs="Times New Roman"/>
                <w:color w:val="000000"/>
                <w:sz w:val="24"/>
                <w:szCs w:val="24"/>
              </w:rPr>
            </w:pPr>
          </w:p>
        </w:tc>
        <w:tc>
          <w:tcPr>
            <w:tcW w:w="599" w:type="dxa"/>
            <w:tcBorders>
              <w:top w:val="nil"/>
              <w:left w:val="nil"/>
              <w:bottom w:val="nil"/>
              <w:right w:val="nil"/>
            </w:tcBorders>
          </w:tcPr>
          <w:p w14:paraId="7F69ECCD"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72</w:t>
            </w:r>
          </w:p>
        </w:tc>
        <w:tc>
          <w:tcPr>
            <w:tcW w:w="236" w:type="dxa"/>
            <w:tcBorders>
              <w:top w:val="nil"/>
              <w:left w:val="nil"/>
              <w:bottom w:val="nil"/>
              <w:right w:val="nil"/>
            </w:tcBorders>
          </w:tcPr>
          <w:p w14:paraId="1DAE6F6F"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47F5C293"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0.278</w:t>
            </w:r>
          </w:p>
        </w:tc>
        <w:tc>
          <w:tcPr>
            <w:tcW w:w="236" w:type="dxa"/>
            <w:tcBorders>
              <w:top w:val="nil"/>
              <w:left w:val="nil"/>
              <w:bottom w:val="nil"/>
              <w:right w:val="nil"/>
            </w:tcBorders>
          </w:tcPr>
          <w:p w14:paraId="3A3665A8"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53E6B938"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0.130</w:t>
            </w:r>
          </w:p>
        </w:tc>
        <w:tc>
          <w:tcPr>
            <w:tcW w:w="236" w:type="dxa"/>
            <w:tcBorders>
              <w:top w:val="nil"/>
              <w:left w:val="nil"/>
              <w:bottom w:val="nil"/>
              <w:right w:val="nil"/>
            </w:tcBorders>
          </w:tcPr>
          <w:p w14:paraId="555C755B"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599" w:type="dxa"/>
            <w:tcBorders>
              <w:top w:val="nil"/>
              <w:left w:val="nil"/>
              <w:bottom w:val="nil"/>
              <w:right w:val="nil"/>
            </w:tcBorders>
          </w:tcPr>
          <w:p w14:paraId="570EFFFF"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71</w:t>
            </w:r>
          </w:p>
        </w:tc>
        <w:tc>
          <w:tcPr>
            <w:tcW w:w="236" w:type="dxa"/>
            <w:tcBorders>
              <w:top w:val="nil"/>
              <w:left w:val="nil"/>
              <w:bottom w:val="nil"/>
              <w:right w:val="nil"/>
            </w:tcBorders>
          </w:tcPr>
          <w:p w14:paraId="757FAE9A"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3E5A4966"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0.016</w:t>
            </w:r>
          </w:p>
        </w:tc>
        <w:tc>
          <w:tcPr>
            <w:tcW w:w="236" w:type="dxa"/>
            <w:tcBorders>
              <w:top w:val="nil"/>
              <w:left w:val="nil"/>
              <w:bottom w:val="nil"/>
              <w:right w:val="nil"/>
            </w:tcBorders>
          </w:tcPr>
          <w:p w14:paraId="28BEA6D9"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35138FAD"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-0.004</w:t>
            </w:r>
          </w:p>
        </w:tc>
        <w:tc>
          <w:tcPr>
            <w:tcW w:w="236" w:type="dxa"/>
            <w:tcBorders>
              <w:top w:val="nil"/>
              <w:left w:val="nil"/>
              <w:bottom w:val="nil"/>
              <w:right w:val="nil"/>
            </w:tcBorders>
          </w:tcPr>
          <w:p w14:paraId="4A7BA634"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299" w:type="dxa"/>
            <w:tcBorders>
              <w:top w:val="nil"/>
              <w:left w:val="nil"/>
              <w:bottom w:val="nil"/>
              <w:right w:val="nil"/>
            </w:tcBorders>
          </w:tcPr>
          <w:p w14:paraId="04A4083D"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-0.262*</w:t>
            </w:r>
          </w:p>
        </w:tc>
        <w:tc>
          <w:tcPr>
            <w:tcW w:w="236" w:type="dxa"/>
            <w:tcBorders>
              <w:top w:val="nil"/>
              <w:left w:val="nil"/>
              <w:bottom w:val="nil"/>
              <w:right w:val="nil"/>
            </w:tcBorders>
          </w:tcPr>
          <w:p w14:paraId="23DCBC7E"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499" w:type="dxa"/>
            <w:tcBorders>
              <w:top w:val="nil"/>
              <w:left w:val="nil"/>
              <w:bottom w:val="nil"/>
              <w:right w:val="nil"/>
            </w:tcBorders>
          </w:tcPr>
          <w:p w14:paraId="6637E751"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-0.134**</w:t>
            </w:r>
          </w:p>
        </w:tc>
      </w:tr>
      <w:tr w:rsidR="004208E0" w:rsidRPr="004208E0" w14:paraId="7E6669AE" w14:textId="77777777" w:rsidTr="004208E0">
        <w:trPr>
          <w:trHeight w:val="305"/>
          <w:jc w:val="center"/>
        </w:trPr>
        <w:tc>
          <w:tcPr>
            <w:tcW w:w="1584" w:type="dxa"/>
            <w:tcBorders>
              <w:top w:val="nil"/>
              <w:left w:val="nil"/>
              <w:bottom w:val="nil"/>
              <w:right w:val="nil"/>
            </w:tcBorders>
          </w:tcPr>
          <w:p w14:paraId="0C082945" w14:textId="77777777" w:rsidR="004208E0" w:rsidRPr="004208E0" w:rsidRDefault="004208E0" w:rsidP="004208E0">
            <w:pPr>
              <w:autoSpaceDE w:val="0"/>
              <w:autoSpaceDN w:val="0"/>
              <w:adjustRightInd w:val="0"/>
              <w:spacing w:after="0" w:line="240" w:lineRule="auto"/>
              <w:rPr>
                <w:rFonts w:ascii="Times New Roman" w:hAnsi="Times New Roman" w:cs="Times New Roman"/>
                <w:color w:val="000000"/>
                <w:sz w:val="24"/>
                <w:szCs w:val="24"/>
              </w:rPr>
            </w:pPr>
            <w:r w:rsidRPr="004208E0">
              <w:rPr>
                <w:rFonts w:ascii="Times New Roman" w:hAnsi="Times New Roman" w:cs="Times New Roman"/>
                <w:color w:val="000000"/>
                <w:sz w:val="24"/>
                <w:szCs w:val="24"/>
              </w:rPr>
              <w:t>RD_TA</w:t>
            </w:r>
          </w:p>
        </w:tc>
        <w:tc>
          <w:tcPr>
            <w:tcW w:w="236" w:type="dxa"/>
            <w:tcBorders>
              <w:top w:val="nil"/>
              <w:left w:val="nil"/>
              <w:bottom w:val="nil"/>
              <w:right w:val="nil"/>
            </w:tcBorders>
          </w:tcPr>
          <w:p w14:paraId="30240247" w14:textId="77777777" w:rsidR="004208E0" w:rsidRPr="004208E0" w:rsidRDefault="004208E0" w:rsidP="004208E0">
            <w:pPr>
              <w:autoSpaceDE w:val="0"/>
              <w:autoSpaceDN w:val="0"/>
              <w:adjustRightInd w:val="0"/>
              <w:spacing w:after="0" w:line="240" w:lineRule="auto"/>
              <w:jc w:val="right"/>
              <w:rPr>
                <w:rFonts w:ascii="Times New Roman" w:hAnsi="Times New Roman" w:cs="Times New Roman"/>
                <w:color w:val="000000"/>
                <w:sz w:val="24"/>
                <w:szCs w:val="24"/>
              </w:rPr>
            </w:pPr>
          </w:p>
        </w:tc>
        <w:tc>
          <w:tcPr>
            <w:tcW w:w="599" w:type="dxa"/>
            <w:tcBorders>
              <w:top w:val="nil"/>
              <w:left w:val="nil"/>
              <w:bottom w:val="nil"/>
              <w:right w:val="nil"/>
            </w:tcBorders>
          </w:tcPr>
          <w:p w14:paraId="707818D5"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72</w:t>
            </w:r>
          </w:p>
        </w:tc>
        <w:tc>
          <w:tcPr>
            <w:tcW w:w="236" w:type="dxa"/>
            <w:tcBorders>
              <w:top w:val="nil"/>
              <w:left w:val="nil"/>
              <w:bottom w:val="nil"/>
              <w:right w:val="nil"/>
            </w:tcBorders>
          </w:tcPr>
          <w:p w14:paraId="4A5DA8AD"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061CD416"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0.010</w:t>
            </w:r>
          </w:p>
        </w:tc>
        <w:tc>
          <w:tcPr>
            <w:tcW w:w="236" w:type="dxa"/>
            <w:tcBorders>
              <w:top w:val="nil"/>
              <w:left w:val="nil"/>
              <w:bottom w:val="nil"/>
              <w:right w:val="nil"/>
            </w:tcBorders>
          </w:tcPr>
          <w:p w14:paraId="1B00FE4D"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10288D31"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0.003</w:t>
            </w:r>
          </w:p>
        </w:tc>
        <w:tc>
          <w:tcPr>
            <w:tcW w:w="236" w:type="dxa"/>
            <w:tcBorders>
              <w:top w:val="nil"/>
              <w:left w:val="nil"/>
              <w:bottom w:val="nil"/>
              <w:right w:val="nil"/>
            </w:tcBorders>
          </w:tcPr>
          <w:p w14:paraId="7EBD53A2"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599" w:type="dxa"/>
            <w:tcBorders>
              <w:top w:val="nil"/>
              <w:left w:val="nil"/>
              <w:bottom w:val="nil"/>
              <w:right w:val="nil"/>
            </w:tcBorders>
          </w:tcPr>
          <w:p w14:paraId="403E6EF4"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72</w:t>
            </w:r>
          </w:p>
        </w:tc>
        <w:tc>
          <w:tcPr>
            <w:tcW w:w="236" w:type="dxa"/>
            <w:tcBorders>
              <w:top w:val="nil"/>
              <w:left w:val="nil"/>
              <w:bottom w:val="nil"/>
              <w:right w:val="nil"/>
            </w:tcBorders>
          </w:tcPr>
          <w:p w14:paraId="36335F48"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6BDB226C"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-0.002</w:t>
            </w:r>
          </w:p>
        </w:tc>
        <w:tc>
          <w:tcPr>
            <w:tcW w:w="236" w:type="dxa"/>
            <w:tcBorders>
              <w:top w:val="nil"/>
              <w:left w:val="nil"/>
              <w:bottom w:val="nil"/>
              <w:right w:val="nil"/>
            </w:tcBorders>
          </w:tcPr>
          <w:p w14:paraId="50C47E32"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1D2A32D6"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0.000</w:t>
            </w:r>
          </w:p>
        </w:tc>
        <w:tc>
          <w:tcPr>
            <w:tcW w:w="236" w:type="dxa"/>
            <w:tcBorders>
              <w:top w:val="nil"/>
              <w:left w:val="nil"/>
              <w:bottom w:val="nil"/>
              <w:right w:val="nil"/>
            </w:tcBorders>
          </w:tcPr>
          <w:p w14:paraId="76ECFA14"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299" w:type="dxa"/>
            <w:tcBorders>
              <w:top w:val="nil"/>
              <w:left w:val="nil"/>
              <w:bottom w:val="nil"/>
              <w:right w:val="nil"/>
            </w:tcBorders>
          </w:tcPr>
          <w:p w14:paraId="7C42D643"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-0.012**</w:t>
            </w:r>
          </w:p>
        </w:tc>
        <w:tc>
          <w:tcPr>
            <w:tcW w:w="236" w:type="dxa"/>
            <w:tcBorders>
              <w:top w:val="nil"/>
              <w:left w:val="nil"/>
              <w:bottom w:val="nil"/>
              <w:right w:val="nil"/>
            </w:tcBorders>
          </w:tcPr>
          <w:p w14:paraId="2B22B211"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499" w:type="dxa"/>
            <w:tcBorders>
              <w:top w:val="nil"/>
              <w:left w:val="nil"/>
              <w:bottom w:val="nil"/>
              <w:right w:val="nil"/>
            </w:tcBorders>
          </w:tcPr>
          <w:p w14:paraId="6D15F50A"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-0.003***</w:t>
            </w:r>
          </w:p>
        </w:tc>
      </w:tr>
      <w:tr w:rsidR="004208E0" w:rsidRPr="004208E0" w14:paraId="215F66B6" w14:textId="77777777" w:rsidTr="004208E0">
        <w:trPr>
          <w:trHeight w:val="305"/>
          <w:jc w:val="center"/>
        </w:trPr>
        <w:tc>
          <w:tcPr>
            <w:tcW w:w="1584" w:type="dxa"/>
            <w:tcBorders>
              <w:top w:val="nil"/>
              <w:left w:val="nil"/>
              <w:bottom w:val="nil"/>
              <w:right w:val="nil"/>
            </w:tcBorders>
          </w:tcPr>
          <w:p w14:paraId="39F12B87" w14:textId="77777777" w:rsidR="004208E0" w:rsidRPr="004208E0" w:rsidRDefault="004208E0" w:rsidP="004208E0">
            <w:pPr>
              <w:autoSpaceDE w:val="0"/>
              <w:autoSpaceDN w:val="0"/>
              <w:adjustRightInd w:val="0"/>
              <w:spacing w:after="0" w:line="240" w:lineRule="auto"/>
              <w:rPr>
                <w:rFonts w:ascii="Times New Roman" w:hAnsi="Times New Roman" w:cs="Times New Roman"/>
                <w:color w:val="000000"/>
                <w:sz w:val="24"/>
                <w:szCs w:val="24"/>
              </w:rPr>
            </w:pPr>
            <w:r w:rsidRPr="004208E0">
              <w:rPr>
                <w:rFonts w:ascii="Times New Roman" w:hAnsi="Times New Roman" w:cs="Times New Roman"/>
                <w:color w:val="000000"/>
                <w:sz w:val="24"/>
                <w:szCs w:val="24"/>
              </w:rPr>
              <w:t>RD / Sales</w:t>
            </w:r>
          </w:p>
        </w:tc>
        <w:tc>
          <w:tcPr>
            <w:tcW w:w="236" w:type="dxa"/>
            <w:tcBorders>
              <w:top w:val="nil"/>
              <w:left w:val="nil"/>
              <w:bottom w:val="nil"/>
              <w:right w:val="nil"/>
            </w:tcBorders>
          </w:tcPr>
          <w:p w14:paraId="741FA27F" w14:textId="77777777" w:rsidR="004208E0" w:rsidRPr="004208E0" w:rsidRDefault="004208E0" w:rsidP="004208E0">
            <w:pPr>
              <w:autoSpaceDE w:val="0"/>
              <w:autoSpaceDN w:val="0"/>
              <w:adjustRightInd w:val="0"/>
              <w:spacing w:after="0" w:line="240" w:lineRule="auto"/>
              <w:jc w:val="right"/>
              <w:rPr>
                <w:rFonts w:ascii="Times New Roman" w:hAnsi="Times New Roman" w:cs="Times New Roman"/>
                <w:color w:val="000000"/>
                <w:sz w:val="24"/>
                <w:szCs w:val="24"/>
              </w:rPr>
            </w:pPr>
          </w:p>
        </w:tc>
        <w:tc>
          <w:tcPr>
            <w:tcW w:w="599" w:type="dxa"/>
            <w:tcBorders>
              <w:top w:val="nil"/>
              <w:left w:val="nil"/>
              <w:bottom w:val="nil"/>
              <w:right w:val="nil"/>
            </w:tcBorders>
          </w:tcPr>
          <w:p w14:paraId="7CA9D4C6"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72</w:t>
            </w:r>
          </w:p>
        </w:tc>
        <w:tc>
          <w:tcPr>
            <w:tcW w:w="236" w:type="dxa"/>
            <w:tcBorders>
              <w:top w:val="nil"/>
              <w:left w:val="nil"/>
              <w:bottom w:val="nil"/>
              <w:right w:val="nil"/>
            </w:tcBorders>
          </w:tcPr>
          <w:p w14:paraId="1A54ACD6"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3D775FCA"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0.118</w:t>
            </w:r>
          </w:p>
        </w:tc>
        <w:tc>
          <w:tcPr>
            <w:tcW w:w="236" w:type="dxa"/>
            <w:tcBorders>
              <w:top w:val="nil"/>
              <w:left w:val="nil"/>
              <w:bottom w:val="nil"/>
              <w:right w:val="nil"/>
            </w:tcBorders>
          </w:tcPr>
          <w:p w14:paraId="27A29E41"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249DDD3C"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0.048</w:t>
            </w:r>
          </w:p>
        </w:tc>
        <w:tc>
          <w:tcPr>
            <w:tcW w:w="236" w:type="dxa"/>
            <w:tcBorders>
              <w:top w:val="nil"/>
              <w:left w:val="nil"/>
              <w:bottom w:val="nil"/>
              <w:right w:val="nil"/>
            </w:tcBorders>
          </w:tcPr>
          <w:p w14:paraId="573D146C"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599" w:type="dxa"/>
            <w:tcBorders>
              <w:top w:val="nil"/>
              <w:left w:val="nil"/>
              <w:bottom w:val="nil"/>
              <w:right w:val="nil"/>
            </w:tcBorders>
          </w:tcPr>
          <w:p w14:paraId="5D4553F7"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72</w:t>
            </w:r>
          </w:p>
        </w:tc>
        <w:tc>
          <w:tcPr>
            <w:tcW w:w="236" w:type="dxa"/>
            <w:tcBorders>
              <w:top w:val="nil"/>
              <w:left w:val="nil"/>
              <w:bottom w:val="nil"/>
              <w:right w:val="nil"/>
            </w:tcBorders>
          </w:tcPr>
          <w:p w14:paraId="47B317AD"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3CA025BC"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0.052</w:t>
            </w:r>
          </w:p>
        </w:tc>
        <w:tc>
          <w:tcPr>
            <w:tcW w:w="236" w:type="dxa"/>
            <w:tcBorders>
              <w:top w:val="nil"/>
              <w:left w:val="nil"/>
              <w:bottom w:val="nil"/>
              <w:right w:val="nil"/>
            </w:tcBorders>
          </w:tcPr>
          <w:p w14:paraId="66D467A0"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7D984627"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0.033</w:t>
            </w:r>
          </w:p>
        </w:tc>
        <w:tc>
          <w:tcPr>
            <w:tcW w:w="236" w:type="dxa"/>
            <w:tcBorders>
              <w:top w:val="nil"/>
              <w:left w:val="nil"/>
              <w:bottom w:val="nil"/>
              <w:right w:val="nil"/>
            </w:tcBorders>
          </w:tcPr>
          <w:p w14:paraId="55C84EFC"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299" w:type="dxa"/>
            <w:tcBorders>
              <w:top w:val="nil"/>
              <w:left w:val="nil"/>
              <w:bottom w:val="nil"/>
              <w:right w:val="nil"/>
            </w:tcBorders>
          </w:tcPr>
          <w:p w14:paraId="008B0D77"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-0.066**</w:t>
            </w:r>
          </w:p>
        </w:tc>
        <w:tc>
          <w:tcPr>
            <w:tcW w:w="236" w:type="dxa"/>
            <w:tcBorders>
              <w:top w:val="nil"/>
              <w:left w:val="nil"/>
              <w:bottom w:val="nil"/>
              <w:right w:val="nil"/>
            </w:tcBorders>
          </w:tcPr>
          <w:p w14:paraId="719041A1"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499" w:type="dxa"/>
            <w:tcBorders>
              <w:top w:val="nil"/>
              <w:left w:val="nil"/>
              <w:bottom w:val="nil"/>
              <w:right w:val="nil"/>
            </w:tcBorders>
          </w:tcPr>
          <w:p w14:paraId="4632AE8E"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-0.015*</w:t>
            </w:r>
          </w:p>
        </w:tc>
      </w:tr>
      <w:tr w:rsidR="004208E0" w:rsidRPr="004208E0" w14:paraId="3595A34B" w14:textId="77777777" w:rsidTr="004208E0">
        <w:trPr>
          <w:trHeight w:val="305"/>
          <w:jc w:val="center"/>
        </w:trPr>
        <w:tc>
          <w:tcPr>
            <w:tcW w:w="1584" w:type="dxa"/>
            <w:tcBorders>
              <w:top w:val="nil"/>
              <w:left w:val="nil"/>
              <w:bottom w:val="nil"/>
              <w:right w:val="nil"/>
            </w:tcBorders>
          </w:tcPr>
          <w:p w14:paraId="63F427E3" w14:textId="77777777" w:rsidR="004208E0" w:rsidRPr="004208E0" w:rsidRDefault="004208E0" w:rsidP="004208E0">
            <w:pPr>
              <w:autoSpaceDE w:val="0"/>
              <w:autoSpaceDN w:val="0"/>
              <w:adjustRightInd w:val="0"/>
              <w:spacing w:after="0" w:line="240" w:lineRule="auto"/>
              <w:rPr>
                <w:rFonts w:ascii="Times New Roman" w:hAnsi="Times New Roman" w:cs="Times New Roman"/>
                <w:color w:val="000000"/>
                <w:sz w:val="24"/>
                <w:szCs w:val="24"/>
              </w:rPr>
            </w:pPr>
            <w:r w:rsidRPr="004208E0">
              <w:rPr>
                <w:rFonts w:ascii="Times New Roman" w:hAnsi="Times New Roman" w:cs="Times New Roman"/>
                <w:color w:val="000000"/>
                <w:sz w:val="24"/>
                <w:szCs w:val="24"/>
              </w:rPr>
              <w:t>CAP%</w:t>
            </w:r>
          </w:p>
        </w:tc>
        <w:tc>
          <w:tcPr>
            <w:tcW w:w="236" w:type="dxa"/>
            <w:tcBorders>
              <w:top w:val="nil"/>
              <w:left w:val="nil"/>
              <w:bottom w:val="nil"/>
              <w:right w:val="nil"/>
            </w:tcBorders>
          </w:tcPr>
          <w:p w14:paraId="28AB0C27" w14:textId="77777777" w:rsidR="004208E0" w:rsidRPr="004208E0" w:rsidRDefault="004208E0" w:rsidP="004208E0">
            <w:pPr>
              <w:autoSpaceDE w:val="0"/>
              <w:autoSpaceDN w:val="0"/>
              <w:adjustRightInd w:val="0"/>
              <w:spacing w:after="0" w:line="240" w:lineRule="auto"/>
              <w:jc w:val="right"/>
              <w:rPr>
                <w:rFonts w:ascii="Times New Roman" w:hAnsi="Times New Roman" w:cs="Times New Roman"/>
                <w:color w:val="000000"/>
                <w:sz w:val="24"/>
                <w:szCs w:val="24"/>
              </w:rPr>
            </w:pPr>
          </w:p>
        </w:tc>
        <w:tc>
          <w:tcPr>
            <w:tcW w:w="599" w:type="dxa"/>
            <w:tcBorders>
              <w:top w:val="nil"/>
              <w:left w:val="nil"/>
              <w:bottom w:val="nil"/>
              <w:right w:val="nil"/>
            </w:tcBorders>
          </w:tcPr>
          <w:p w14:paraId="44FE0218"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72</w:t>
            </w:r>
          </w:p>
        </w:tc>
        <w:tc>
          <w:tcPr>
            <w:tcW w:w="236" w:type="dxa"/>
            <w:tcBorders>
              <w:top w:val="nil"/>
              <w:left w:val="nil"/>
              <w:bottom w:val="nil"/>
              <w:right w:val="nil"/>
            </w:tcBorders>
          </w:tcPr>
          <w:p w14:paraId="5FA328F6"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116741D5"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0.588</w:t>
            </w:r>
          </w:p>
        </w:tc>
        <w:tc>
          <w:tcPr>
            <w:tcW w:w="236" w:type="dxa"/>
            <w:tcBorders>
              <w:top w:val="nil"/>
              <w:left w:val="nil"/>
              <w:bottom w:val="nil"/>
              <w:right w:val="nil"/>
            </w:tcBorders>
          </w:tcPr>
          <w:p w14:paraId="41554166"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7EBAC8A8"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0.519</w:t>
            </w:r>
          </w:p>
        </w:tc>
        <w:tc>
          <w:tcPr>
            <w:tcW w:w="236" w:type="dxa"/>
            <w:tcBorders>
              <w:top w:val="nil"/>
              <w:left w:val="nil"/>
              <w:bottom w:val="nil"/>
              <w:right w:val="nil"/>
            </w:tcBorders>
          </w:tcPr>
          <w:p w14:paraId="5EB0D6BB"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599" w:type="dxa"/>
            <w:tcBorders>
              <w:top w:val="nil"/>
              <w:left w:val="nil"/>
              <w:bottom w:val="nil"/>
              <w:right w:val="nil"/>
            </w:tcBorders>
          </w:tcPr>
          <w:p w14:paraId="412AADF5"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67</w:t>
            </w:r>
          </w:p>
        </w:tc>
        <w:tc>
          <w:tcPr>
            <w:tcW w:w="236" w:type="dxa"/>
            <w:tcBorders>
              <w:top w:val="nil"/>
              <w:left w:val="nil"/>
              <w:bottom w:val="nil"/>
              <w:right w:val="nil"/>
            </w:tcBorders>
          </w:tcPr>
          <w:p w14:paraId="1D606AAB"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16E8F3B9"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0.670</w:t>
            </w:r>
          </w:p>
        </w:tc>
        <w:tc>
          <w:tcPr>
            <w:tcW w:w="236" w:type="dxa"/>
            <w:tcBorders>
              <w:top w:val="nil"/>
              <w:left w:val="nil"/>
              <w:bottom w:val="nil"/>
              <w:right w:val="nil"/>
            </w:tcBorders>
          </w:tcPr>
          <w:p w14:paraId="01DAAC45"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3D0F7F0D"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0.859</w:t>
            </w:r>
          </w:p>
        </w:tc>
        <w:tc>
          <w:tcPr>
            <w:tcW w:w="236" w:type="dxa"/>
            <w:tcBorders>
              <w:top w:val="nil"/>
              <w:left w:val="nil"/>
              <w:bottom w:val="nil"/>
              <w:right w:val="nil"/>
            </w:tcBorders>
          </w:tcPr>
          <w:p w14:paraId="1689E11B"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299" w:type="dxa"/>
            <w:tcBorders>
              <w:top w:val="nil"/>
              <w:left w:val="nil"/>
              <w:bottom w:val="nil"/>
              <w:right w:val="nil"/>
            </w:tcBorders>
          </w:tcPr>
          <w:p w14:paraId="428D88F3"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0.082</w:t>
            </w:r>
          </w:p>
        </w:tc>
        <w:tc>
          <w:tcPr>
            <w:tcW w:w="236" w:type="dxa"/>
            <w:tcBorders>
              <w:top w:val="nil"/>
              <w:left w:val="nil"/>
              <w:bottom w:val="nil"/>
              <w:right w:val="nil"/>
            </w:tcBorders>
          </w:tcPr>
          <w:p w14:paraId="4ACB9856"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p>
        </w:tc>
        <w:tc>
          <w:tcPr>
            <w:tcW w:w="1499" w:type="dxa"/>
            <w:tcBorders>
              <w:top w:val="nil"/>
              <w:left w:val="nil"/>
              <w:bottom w:val="nil"/>
              <w:right w:val="nil"/>
            </w:tcBorders>
          </w:tcPr>
          <w:p w14:paraId="7F9FEEB5" w14:textId="77777777" w:rsidR="004208E0" w:rsidRPr="004208E0" w:rsidRDefault="004208E0" w:rsidP="004208E0">
            <w:pPr>
              <w:autoSpaceDE w:val="0"/>
              <w:autoSpaceDN w:val="0"/>
              <w:adjustRightInd w:val="0"/>
              <w:spacing w:after="0" w:line="240" w:lineRule="auto"/>
              <w:jc w:val="center"/>
              <w:rPr>
                <w:rFonts w:ascii="Times New Roman" w:hAnsi="Times New Roman" w:cs="Times New Roman"/>
                <w:color w:val="000000"/>
                <w:sz w:val="24"/>
                <w:szCs w:val="24"/>
              </w:rPr>
            </w:pPr>
            <w:r w:rsidRPr="004208E0">
              <w:rPr>
                <w:rFonts w:ascii="Times New Roman" w:hAnsi="Times New Roman" w:cs="Times New Roman"/>
                <w:color w:val="000000"/>
                <w:sz w:val="24"/>
                <w:szCs w:val="24"/>
              </w:rPr>
              <w:t>0.340</w:t>
            </w:r>
          </w:p>
        </w:tc>
      </w:tr>
    </w:tbl>
    <w:p w14:paraId="4C777CCB" w14:textId="77777777" w:rsidR="004208E0" w:rsidRDefault="004208E0" w:rsidP="00873BC8">
      <w:pPr>
        <w:contextualSpacing/>
        <w:rPr>
          <w:rFonts w:ascii="Times New Roman" w:hAnsi="Times New Roman" w:cs="Times New Roman"/>
          <w:b/>
          <w:sz w:val="24"/>
          <w:szCs w:val="24"/>
        </w:rPr>
      </w:pPr>
    </w:p>
    <w:p w14:paraId="2F5025F9" w14:textId="77777777" w:rsidR="003808C1" w:rsidRDefault="003808C1" w:rsidP="00985B47">
      <w:pPr>
        <w:pBdr>
          <w:bottom w:val="single" w:sz="12" w:space="1" w:color="auto"/>
        </w:pBdr>
        <w:rPr>
          <w:rFonts w:ascii="Times New Roman" w:hAnsi="Times New Roman" w:cs="Times New Roman"/>
          <w:sz w:val="24"/>
          <w:szCs w:val="24"/>
          <w:u w:val="single"/>
        </w:rPr>
      </w:pPr>
    </w:p>
    <w:p w14:paraId="67DB8C54" w14:textId="77777777" w:rsidR="00B46EE5" w:rsidRDefault="00B46EE5" w:rsidP="00985B47">
      <w:pPr>
        <w:rPr>
          <w:rFonts w:ascii="Times New Roman" w:hAnsi="Times New Roman" w:cs="Times New Roman"/>
          <w:b/>
          <w:sz w:val="24"/>
          <w:szCs w:val="24"/>
        </w:rPr>
      </w:pPr>
    </w:p>
    <w:p w14:paraId="5AC5C48A" w14:textId="22B3D412" w:rsidR="003808C1" w:rsidRDefault="003808C1" w:rsidP="00985B47">
      <w:pPr>
        <w:rPr>
          <w:rFonts w:ascii="Times New Roman" w:hAnsi="Times New Roman" w:cs="Times New Roman"/>
          <w:b/>
          <w:sz w:val="24"/>
          <w:szCs w:val="24"/>
        </w:rPr>
      </w:pPr>
      <w:r>
        <w:rPr>
          <w:rFonts w:ascii="Times New Roman" w:hAnsi="Times New Roman" w:cs="Times New Roman"/>
          <w:b/>
          <w:sz w:val="24"/>
          <w:szCs w:val="24"/>
        </w:rPr>
        <w:t>Panel B: Switchers</w:t>
      </w:r>
    </w:p>
    <w:tbl>
      <w:tblPr>
        <w:tblW w:w="11500" w:type="dxa"/>
        <w:jc w:val="center"/>
        <w:tblLayout w:type="fixed"/>
        <w:tblLook w:val="0000" w:firstRow="0" w:lastRow="0" w:firstColumn="0" w:lastColumn="0" w:noHBand="0" w:noVBand="0"/>
      </w:tblPr>
      <w:tblGrid>
        <w:gridCol w:w="1584"/>
        <w:gridCol w:w="236"/>
        <w:gridCol w:w="599"/>
        <w:gridCol w:w="236"/>
        <w:gridCol w:w="1008"/>
        <w:gridCol w:w="236"/>
        <w:gridCol w:w="1008"/>
        <w:gridCol w:w="236"/>
        <w:gridCol w:w="599"/>
        <w:gridCol w:w="236"/>
        <w:gridCol w:w="1008"/>
        <w:gridCol w:w="236"/>
        <w:gridCol w:w="1008"/>
        <w:gridCol w:w="236"/>
        <w:gridCol w:w="1299"/>
        <w:gridCol w:w="236"/>
        <w:gridCol w:w="1499"/>
      </w:tblGrid>
      <w:tr w:rsidR="00590671" w:rsidRPr="004208E0" w14:paraId="486870BF" w14:textId="77777777" w:rsidTr="00590671">
        <w:trPr>
          <w:trHeight w:val="305"/>
          <w:jc w:val="center"/>
        </w:trPr>
        <w:tc>
          <w:tcPr>
            <w:tcW w:w="1584" w:type="dxa"/>
            <w:tcBorders>
              <w:top w:val="nil"/>
              <w:left w:val="nil"/>
              <w:right w:val="nil"/>
            </w:tcBorders>
          </w:tcPr>
          <w:p w14:paraId="35E2102D" w14:textId="77777777" w:rsidR="00590671" w:rsidRPr="004208E0" w:rsidRDefault="00590671" w:rsidP="0006627E">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36" w:type="dxa"/>
            <w:tcBorders>
              <w:top w:val="nil"/>
              <w:left w:val="nil"/>
              <w:right w:val="nil"/>
            </w:tcBorders>
          </w:tcPr>
          <w:p w14:paraId="3C935E4C" w14:textId="77777777" w:rsidR="00590671" w:rsidRPr="004208E0" w:rsidRDefault="00590671" w:rsidP="0006627E">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87" w:type="dxa"/>
            <w:gridSpan w:val="5"/>
            <w:tcBorders>
              <w:top w:val="nil"/>
              <w:left w:val="nil"/>
              <w:bottom w:val="single" w:sz="4" w:space="0" w:color="auto"/>
              <w:right w:val="nil"/>
            </w:tcBorders>
          </w:tcPr>
          <w:p w14:paraId="7C955C2D" w14:textId="77777777" w:rsidR="00590671" w:rsidRPr="004208E0" w:rsidRDefault="00590671" w:rsidP="0006627E">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UK GAAP</w:t>
            </w:r>
          </w:p>
        </w:tc>
        <w:tc>
          <w:tcPr>
            <w:tcW w:w="236" w:type="dxa"/>
            <w:tcBorders>
              <w:top w:val="nil"/>
              <w:left w:val="nil"/>
              <w:right w:val="nil"/>
            </w:tcBorders>
          </w:tcPr>
          <w:p w14:paraId="08FE30FF" w14:textId="77777777" w:rsidR="00590671" w:rsidRPr="004208E0" w:rsidRDefault="00590671" w:rsidP="0006627E">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87" w:type="dxa"/>
            <w:gridSpan w:val="5"/>
            <w:tcBorders>
              <w:top w:val="nil"/>
              <w:left w:val="nil"/>
              <w:bottom w:val="single" w:sz="4" w:space="0" w:color="auto"/>
              <w:right w:val="nil"/>
            </w:tcBorders>
          </w:tcPr>
          <w:p w14:paraId="1AAA69DA" w14:textId="77777777" w:rsidR="00590671" w:rsidRPr="004208E0" w:rsidRDefault="00590671" w:rsidP="0006627E">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IFRS</w:t>
            </w:r>
          </w:p>
        </w:tc>
        <w:tc>
          <w:tcPr>
            <w:tcW w:w="236" w:type="dxa"/>
            <w:tcBorders>
              <w:top w:val="nil"/>
              <w:left w:val="nil"/>
              <w:right w:val="nil"/>
            </w:tcBorders>
          </w:tcPr>
          <w:p w14:paraId="16AB810D" w14:textId="77777777" w:rsidR="00590671" w:rsidRPr="004208E0" w:rsidRDefault="00590671" w:rsidP="0006627E">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34" w:type="dxa"/>
            <w:gridSpan w:val="3"/>
            <w:tcBorders>
              <w:top w:val="nil"/>
              <w:left w:val="nil"/>
              <w:bottom w:val="single" w:sz="4" w:space="0" w:color="auto"/>
              <w:right w:val="nil"/>
            </w:tcBorders>
          </w:tcPr>
          <w:p w14:paraId="4C8293AF" w14:textId="77777777" w:rsidR="00590671" w:rsidRPr="004208E0" w:rsidRDefault="00590671" w:rsidP="0006627E">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IFRS – UK GAAP</w:t>
            </w:r>
          </w:p>
        </w:tc>
      </w:tr>
      <w:tr w:rsidR="00590671" w:rsidRPr="00590671" w14:paraId="0A35A76C" w14:textId="77777777" w:rsidTr="00590671">
        <w:trPr>
          <w:trHeight w:val="305"/>
          <w:jc w:val="center"/>
        </w:trPr>
        <w:tc>
          <w:tcPr>
            <w:tcW w:w="1584" w:type="dxa"/>
            <w:tcBorders>
              <w:top w:val="nil"/>
              <w:left w:val="nil"/>
              <w:bottom w:val="single" w:sz="6" w:space="0" w:color="auto"/>
              <w:right w:val="nil"/>
            </w:tcBorders>
          </w:tcPr>
          <w:p w14:paraId="1B6B66A8" w14:textId="478096F3" w:rsidR="00590671" w:rsidRPr="00590671" w:rsidRDefault="00590671" w:rsidP="00590671">
            <w:pPr>
              <w:autoSpaceDE w:val="0"/>
              <w:autoSpaceDN w:val="0"/>
              <w:adjustRightInd w:val="0"/>
              <w:spacing w:after="0" w:line="240" w:lineRule="auto"/>
              <w:jc w:val="center"/>
              <w:rPr>
                <w:rFonts w:ascii="Times New Roman" w:hAnsi="Times New Roman" w:cs="Times New Roman"/>
                <w:b/>
                <w:bCs/>
                <w:color w:val="000000"/>
                <w:sz w:val="24"/>
                <w:szCs w:val="24"/>
              </w:rPr>
            </w:pPr>
            <w:r w:rsidRPr="00590671">
              <w:rPr>
                <w:rFonts w:ascii="Times New Roman" w:hAnsi="Times New Roman" w:cs="Times New Roman"/>
                <w:b/>
                <w:bCs/>
                <w:color w:val="000000"/>
                <w:sz w:val="24"/>
                <w:szCs w:val="24"/>
              </w:rPr>
              <w:t>Variable</w:t>
            </w:r>
          </w:p>
        </w:tc>
        <w:tc>
          <w:tcPr>
            <w:tcW w:w="236" w:type="dxa"/>
            <w:tcBorders>
              <w:top w:val="nil"/>
              <w:left w:val="nil"/>
              <w:bottom w:val="nil"/>
              <w:right w:val="nil"/>
            </w:tcBorders>
          </w:tcPr>
          <w:p w14:paraId="024DEAFD"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99" w:type="dxa"/>
            <w:tcBorders>
              <w:top w:val="single" w:sz="4" w:space="0" w:color="auto"/>
              <w:left w:val="nil"/>
              <w:bottom w:val="single" w:sz="6" w:space="0" w:color="auto"/>
              <w:right w:val="nil"/>
            </w:tcBorders>
          </w:tcPr>
          <w:p w14:paraId="023CA8FB" w14:textId="2B2BCC75" w:rsidR="00590671" w:rsidRPr="00590671" w:rsidRDefault="00590671" w:rsidP="00590671">
            <w:pPr>
              <w:autoSpaceDE w:val="0"/>
              <w:autoSpaceDN w:val="0"/>
              <w:adjustRightInd w:val="0"/>
              <w:spacing w:after="0" w:line="240" w:lineRule="auto"/>
              <w:jc w:val="center"/>
              <w:rPr>
                <w:rFonts w:ascii="Times New Roman" w:hAnsi="Times New Roman" w:cs="Times New Roman"/>
                <w:b/>
                <w:bCs/>
                <w:color w:val="000000"/>
                <w:sz w:val="24"/>
                <w:szCs w:val="24"/>
              </w:rPr>
            </w:pPr>
            <w:r w:rsidRPr="00590671">
              <w:rPr>
                <w:rFonts w:ascii="Times New Roman" w:hAnsi="Times New Roman" w:cs="Times New Roman"/>
                <w:b/>
                <w:bCs/>
                <w:color w:val="000000"/>
                <w:sz w:val="24"/>
                <w:szCs w:val="24"/>
              </w:rPr>
              <w:t>N</w:t>
            </w:r>
          </w:p>
        </w:tc>
        <w:tc>
          <w:tcPr>
            <w:tcW w:w="236" w:type="dxa"/>
            <w:tcBorders>
              <w:top w:val="single" w:sz="4" w:space="0" w:color="auto"/>
              <w:left w:val="nil"/>
              <w:bottom w:val="nil"/>
              <w:right w:val="nil"/>
            </w:tcBorders>
          </w:tcPr>
          <w:p w14:paraId="6C2B5A15"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008" w:type="dxa"/>
            <w:tcBorders>
              <w:top w:val="single" w:sz="4" w:space="0" w:color="auto"/>
              <w:left w:val="nil"/>
              <w:bottom w:val="single" w:sz="6" w:space="0" w:color="auto"/>
              <w:right w:val="nil"/>
            </w:tcBorders>
          </w:tcPr>
          <w:p w14:paraId="562BD19B" w14:textId="4A4F78B9" w:rsidR="00590671" w:rsidRPr="00590671" w:rsidRDefault="00590671" w:rsidP="00590671">
            <w:pPr>
              <w:autoSpaceDE w:val="0"/>
              <w:autoSpaceDN w:val="0"/>
              <w:adjustRightInd w:val="0"/>
              <w:spacing w:after="0" w:line="240" w:lineRule="auto"/>
              <w:jc w:val="center"/>
              <w:rPr>
                <w:rFonts w:ascii="Times New Roman" w:hAnsi="Times New Roman" w:cs="Times New Roman"/>
                <w:b/>
                <w:bCs/>
                <w:color w:val="000000"/>
                <w:sz w:val="24"/>
                <w:szCs w:val="24"/>
              </w:rPr>
            </w:pPr>
            <w:r w:rsidRPr="00590671">
              <w:rPr>
                <w:rFonts w:ascii="Times New Roman" w:hAnsi="Times New Roman" w:cs="Times New Roman"/>
                <w:b/>
                <w:bCs/>
                <w:color w:val="000000"/>
                <w:sz w:val="24"/>
                <w:szCs w:val="24"/>
              </w:rPr>
              <w:t>Mean</w:t>
            </w:r>
          </w:p>
        </w:tc>
        <w:tc>
          <w:tcPr>
            <w:tcW w:w="236" w:type="dxa"/>
            <w:tcBorders>
              <w:top w:val="single" w:sz="4" w:space="0" w:color="auto"/>
              <w:left w:val="nil"/>
              <w:bottom w:val="nil"/>
              <w:right w:val="nil"/>
            </w:tcBorders>
          </w:tcPr>
          <w:p w14:paraId="6A1514ED"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008" w:type="dxa"/>
            <w:tcBorders>
              <w:top w:val="single" w:sz="4" w:space="0" w:color="auto"/>
              <w:left w:val="nil"/>
              <w:bottom w:val="single" w:sz="6" w:space="0" w:color="auto"/>
              <w:right w:val="nil"/>
            </w:tcBorders>
          </w:tcPr>
          <w:p w14:paraId="45D0BE56" w14:textId="65D73157" w:rsidR="00590671" w:rsidRPr="00590671" w:rsidRDefault="00590671" w:rsidP="00590671">
            <w:pPr>
              <w:autoSpaceDE w:val="0"/>
              <w:autoSpaceDN w:val="0"/>
              <w:adjustRightInd w:val="0"/>
              <w:spacing w:after="0" w:line="240" w:lineRule="auto"/>
              <w:jc w:val="center"/>
              <w:rPr>
                <w:rFonts w:ascii="Times New Roman" w:hAnsi="Times New Roman" w:cs="Times New Roman"/>
                <w:b/>
                <w:bCs/>
                <w:color w:val="000000"/>
                <w:sz w:val="24"/>
                <w:szCs w:val="24"/>
              </w:rPr>
            </w:pPr>
            <w:r w:rsidRPr="00590671">
              <w:rPr>
                <w:rFonts w:ascii="Times New Roman" w:hAnsi="Times New Roman" w:cs="Times New Roman"/>
                <w:b/>
                <w:bCs/>
                <w:color w:val="000000"/>
                <w:sz w:val="24"/>
                <w:szCs w:val="24"/>
              </w:rPr>
              <w:t>Median</w:t>
            </w:r>
          </w:p>
        </w:tc>
        <w:tc>
          <w:tcPr>
            <w:tcW w:w="236" w:type="dxa"/>
            <w:tcBorders>
              <w:top w:val="nil"/>
              <w:left w:val="nil"/>
              <w:bottom w:val="nil"/>
              <w:right w:val="nil"/>
            </w:tcBorders>
          </w:tcPr>
          <w:p w14:paraId="7422B4D8"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99" w:type="dxa"/>
            <w:tcBorders>
              <w:top w:val="single" w:sz="4" w:space="0" w:color="auto"/>
              <w:left w:val="nil"/>
              <w:bottom w:val="single" w:sz="6" w:space="0" w:color="auto"/>
              <w:right w:val="nil"/>
            </w:tcBorders>
          </w:tcPr>
          <w:p w14:paraId="7280A6DF" w14:textId="0B8CB22C" w:rsidR="00590671" w:rsidRPr="00590671" w:rsidRDefault="00590671" w:rsidP="00590671">
            <w:pPr>
              <w:autoSpaceDE w:val="0"/>
              <w:autoSpaceDN w:val="0"/>
              <w:adjustRightInd w:val="0"/>
              <w:spacing w:after="0" w:line="240" w:lineRule="auto"/>
              <w:jc w:val="center"/>
              <w:rPr>
                <w:rFonts w:ascii="Times New Roman" w:hAnsi="Times New Roman" w:cs="Times New Roman"/>
                <w:b/>
                <w:bCs/>
                <w:color w:val="000000"/>
                <w:sz w:val="24"/>
                <w:szCs w:val="24"/>
              </w:rPr>
            </w:pPr>
            <w:r w:rsidRPr="00590671">
              <w:rPr>
                <w:rFonts w:ascii="Times New Roman" w:hAnsi="Times New Roman" w:cs="Times New Roman"/>
                <w:b/>
                <w:bCs/>
                <w:color w:val="000000"/>
                <w:sz w:val="24"/>
                <w:szCs w:val="24"/>
              </w:rPr>
              <w:t>N</w:t>
            </w:r>
          </w:p>
        </w:tc>
        <w:tc>
          <w:tcPr>
            <w:tcW w:w="236" w:type="dxa"/>
            <w:tcBorders>
              <w:top w:val="single" w:sz="4" w:space="0" w:color="auto"/>
              <w:left w:val="nil"/>
              <w:bottom w:val="nil"/>
              <w:right w:val="nil"/>
            </w:tcBorders>
          </w:tcPr>
          <w:p w14:paraId="4C8EA223"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008" w:type="dxa"/>
            <w:tcBorders>
              <w:top w:val="single" w:sz="4" w:space="0" w:color="auto"/>
              <w:left w:val="nil"/>
              <w:bottom w:val="single" w:sz="6" w:space="0" w:color="auto"/>
              <w:right w:val="nil"/>
            </w:tcBorders>
          </w:tcPr>
          <w:p w14:paraId="16EEEC90" w14:textId="2F9BF41D" w:rsidR="00590671" w:rsidRPr="00590671" w:rsidRDefault="00590671" w:rsidP="00590671">
            <w:pPr>
              <w:autoSpaceDE w:val="0"/>
              <w:autoSpaceDN w:val="0"/>
              <w:adjustRightInd w:val="0"/>
              <w:spacing w:after="0" w:line="240" w:lineRule="auto"/>
              <w:jc w:val="center"/>
              <w:rPr>
                <w:rFonts w:ascii="Times New Roman" w:hAnsi="Times New Roman" w:cs="Times New Roman"/>
                <w:b/>
                <w:bCs/>
                <w:color w:val="000000"/>
                <w:sz w:val="24"/>
                <w:szCs w:val="24"/>
              </w:rPr>
            </w:pPr>
            <w:r w:rsidRPr="00590671">
              <w:rPr>
                <w:rFonts w:ascii="Times New Roman" w:hAnsi="Times New Roman" w:cs="Times New Roman"/>
                <w:b/>
                <w:bCs/>
                <w:color w:val="000000"/>
                <w:sz w:val="24"/>
                <w:szCs w:val="24"/>
              </w:rPr>
              <w:t>Mean</w:t>
            </w:r>
          </w:p>
        </w:tc>
        <w:tc>
          <w:tcPr>
            <w:tcW w:w="236" w:type="dxa"/>
            <w:tcBorders>
              <w:top w:val="single" w:sz="4" w:space="0" w:color="auto"/>
              <w:left w:val="nil"/>
              <w:bottom w:val="nil"/>
              <w:right w:val="nil"/>
            </w:tcBorders>
          </w:tcPr>
          <w:p w14:paraId="66F60D9A"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008" w:type="dxa"/>
            <w:tcBorders>
              <w:top w:val="single" w:sz="4" w:space="0" w:color="auto"/>
              <w:left w:val="nil"/>
              <w:bottom w:val="single" w:sz="6" w:space="0" w:color="auto"/>
              <w:right w:val="nil"/>
            </w:tcBorders>
          </w:tcPr>
          <w:p w14:paraId="0874BD1E" w14:textId="0CF0C3DF" w:rsidR="00590671" w:rsidRPr="00590671" w:rsidRDefault="00590671" w:rsidP="00590671">
            <w:pPr>
              <w:autoSpaceDE w:val="0"/>
              <w:autoSpaceDN w:val="0"/>
              <w:adjustRightInd w:val="0"/>
              <w:spacing w:after="0" w:line="240" w:lineRule="auto"/>
              <w:jc w:val="center"/>
              <w:rPr>
                <w:rFonts w:ascii="Times New Roman" w:hAnsi="Times New Roman" w:cs="Times New Roman"/>
                <w:b/>
                <w:bCs/>
                <w:color w:val="000000"/>
                <w:sz w:val="24"/>
                <w:szCs w:val="24"/>
              </w:rPr>
            </w:pPr>
            <w:r w:rsidRPr="00590671">
              <w:rPr>
                <w:rFonts w:ascii="Times New Roman" w:hAnsi="Times New Roman" w:cs="Times New Roman"/>
                <w:b/>
                <w:bCs/>
                <w:color w:val="000000"/>
                <w:sz w:val="24"/>
                <w:szCs w:val="24"/>
              </w:rPr>
              <w:t>Median</w:t>
            </w:r>
          </w:p>
        </w:tc>
        <w:tc>
          <w:tcPr>
            <w:tcW w:w="236" w:type="dxa"/>
            <w:tcBorders>
              <w:top w:val="nil"/>
              <w:left w:val="nil"/>
              <w:bottom w:val="nil"/>
              <w:right w:val="nil"/>
            </w:tcBorders>
          </w:tcPr>
          <w:p w14:paraId="0187D828"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299" w:type="dxa"/>
            <w:tcBorders>
              <w:top w:val="single" w:sz="4" w:space="0" w:color="auto"/>
              <w:left w:val="nil"/>
              <w:bottom w:val="single" w:sz="6" w:space="0" w:color="auto"/>
              <w:right w:val="nil"/>
            </w:tcBorders>
          </w:tcPr>
          <w:p w14:paraId="537C291B" w14:textId="0B96F27E" w:rsidR="00590671" w:rsidRPr="00590671" w:rsidRDefault="00590671" w:rsidP="00590671">
            <w:pPr>
              <w:autoSpaceDE w:val="0"/>
              <w:autoSpaceDN w:val="0"/>
              <w:adjustRightInd w:val="0"/>
              <w:spacing w:after="0" w:line="240" w:lineRule="auto"/>
              <w:jc w:val="center"/>
              <w:rPr>
                <w:rFonts w:ascii="Times New Roman" w:hAnsi="Times New Roman" w:cs="Times New Roman"/>
                <w:b/>
                <w:bCs/>
                <w:color w:val="000000"/>
                <w:sz w:val="24"/>
                <w:szCs w:val="24"/>
              </w:rPr>
            </w:pPr>
            <w:r w:rsidRPr="00590671">
              <w:rPr>
                <w:rFonts w:ascii="Times New Roman" w:hAnsi="Times New Roman" w:cs="Times New Roman"/>
                <w:b/>
                <w:bCs/>
                <w:color w:val="000000"/>
                <w:sz w:val="24"/>
                <w:szCs w:val="24"/>
              </w:rPr>
              <w:t>Mean diff</w:t>
            </w:r>
          </w:p>
        </w:tc>
        <w:tc>
          <w:tcPr>
            <w:tcW w:w="236" w:type="dxa"/>
            <w:tcBorders>
              <w:top w:val="single" w:sz="4" w:space="0" w:color="auto"/>
              <w:left w:val="nil"/>
              <w:bottom w:val="nil"/>
              <w:right w:val="nil"/>
            </w:tcBorders>
          </w:tcPr>
          <w:p w14:paraId="5D41E1F3"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1499" w:type="dxa"/>
            <w:tcBorders>
              <w:top w:val="single" w:sz="4" w:space="0" w:color="auto"/>
              <w:left w:val="nil"/>
              <w:bottom w:val="single" w:sz="6" w:space="0" w:color="auto"/>
              <w:right w:val="nil"/>
            </w:tcBorders>
          </w:tcPr>
          <w:p w14:paraId="43861738" w14:textId="38E19341" w:rsidR="00590671" w:rsidRPr="00590671" w:rsidRDefault="00590671" w:rsidP="00590671">
            <w:pPr>
              <w:autoSpaceDE w:val="0"/>
              <w:autoSpaceDN w:val="0"/>
              <w:adjustRightInd w:val="0"/>
              <w:spacing w:after="0" w:line="240" w:lineRule="auto"/>
              <w:jc w:val="center"/>
              <w:rPr>
                <w:rFonts w:ascii="Times New Roman" w:hAnsi="Times New Roman" w:cs="Times New Roman"/>
                <w:b/>
                <w:bCs/>
                <w:color w:val="000000"/>
                <w:sz w:val="24"/>
                <w:szCs w:val="24"/>
              </w:rPr>
            </w:pPr>
            <w:r w:rsidRPr="00590671">
              <w:rPr>
                <w:rFonts w:ascii="Times New Roman" w:hAnsi="Times New Roman" w:cs="Times New Roman"/>
                <w:b/>
                <w:bCs/>
                <w:color w:val="000000"/>
                <w:sz w:val="24"/>
                <w:szCs w:val="24"/>
              </w:rPr>
              <w:t>Median diff</w:t>
            </w:r>
          </w:p>
        </w:tc>
      </w:tr>
      <w:tr w:rsidR="00590671" w:rsidRPr="00590671" w14:paraId="30A84A25" w14:textId="77777777" w:rsidTr="00590671">
        <w:trPr>
          <w:trHeight w:val="305"/>
          <w:jc w:val="center"/>
        </w:trPr>
        <w:tc>
          <w:tcPr>
            <w:tcW w:w="1584" w:type="dxa"/>
            <w:tcBorders>
              <w:top w:val="nil"/>
              <w:left w:val="nil"/>
              <w:bottom w:val="nil"/>
              <w:right w:val="nil"/>
            </w:tcBorders>
          </w:tcPr>
          <w:p w14:paraId="4A7EBCB5" w14:textId="77777777" w:rsidR="00590671" w:rsidRPr="00590671" w:rsidRDefault="00590671" w:rsidP="00590671">
            <w:pPr>
              <w:autoSpaceDE w:val="0"/>
              <w:autoSpaceDN w:val="0"/>
              <w:adjustRightInd w:val="0"/>
              <w:spacing w:after="0" w:line="240" w:lineRule="auto"/>
              <w:rPr>
                <w:rFonts w:ascii="Times New Roman" w:hAnsi="Times New Roman" w:cs="Times New Roman"/>
                <w:color w:val="000000"/>
                <w:sz w:val="24"/>
                <w:szCs w:val="24"/>
              </w:rPr>
            </w:pPr>
            <w:r w:rsidRPr="00590671">
              <w:rPr>
                <w:rFonts w:ascii="Times New Roman" w:hAnsi="Times New Roman" w:cs="Times New Roman"/>
                <w:color w:val="000000"/>
                <w:sz w:val="24"/>
                <w:szCs w:val="24"/>
              </w:rPr>
              <w:t>Share Price</w:t>
            </w:r>
          </w:p>
        </w:tc>
        <w:tc>
          <w:tcPr>
            <w:tcW w:w="236" w:type="dxa"/>
            <w:tcBorders>
              <w:top w:val="nil"/>
              <w:left w:val="nil"/>
              <w:bottom w:val="nil"/>
              <w:right w:val="nil"/>
            </w:tcBorders>
          </w:tcPr>
          <w:p w14:paraId="7B1A516E" w14:textId="77777777" w:rsidR="00590671" w:rsidRPr="00590671" w:rsidRDefault="00590671" w:rsidP="00590671">
            <w:pPr>
              <w:autoSpaceDE w:val="0"/>
              <w:autoSpaceDN w:val="0"/>
              <w:adjustRightInd w:val="0"/>
              <w:spacing w:after="0" w:line="240" w:lineRule="auto"/>
              <w:jc w:val="right"/>
              <w:rPr>
                <w:rFonts w:ascii="Times New Roman" w:hAnsi="Times New Roman" w:cs="Times New Roman"/>
                <w:color w:val="000000"/>
                <w:sz w:val="24"/>
                <w:szCs w:val="24"/>
              </w:rPr>
            </w:pPr>
          </w:p>
        </w:tc>
        <w:tc>
          <w:tcPr>
            <w:tcW w:w="599" w:type="dxa"/>
            <w:tcBorders>
              <w:top w:val="nil"/>
              <w:left w:val="nil"/>
              <w:bottom w:val="nil"/>
              <w:right w:val="nil"/>
            </w:tcBorders>
          </w:tcPr>
          <w:p w14:paraId="3BB2D575"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328</w:t>
            </w:r>
          </w:p>
        </w:tc>
        <w:tc>
          <w:tcPr>
            <w:tcW w:w="236" w:type="dxa"/>
            <w:tcBorders>
              <w:top w:val="nil"/>
              <w:left w:val="nil"/>
              <w:bottom w:val="nil"/>
              <w:right w:val="nil"/>
            </w:tcBorders>
          </w:tcPr>
          <w:p w14:paraId="56B3C3F1"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4970D79B"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4.473</w:t>
            </w:r>
          </w:p>
        </w:tc>
        <w:tc>
          <w:tcPr>
            <w:tcW w:w="236" w:type="dxa"/>
            <w:tcBorders>
              <w:top w:val="nil"/>
              <w:left w:val="nil"/>
              <w:bottom w:val="nil"/>
              <w:right w:val="nil"/>
            </w:tcBorders>
          </w:tcPr>
          <w:p w14:paraId="090C3419"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34374DF1"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4.846</w:t>
            </w:r>
          </w:p>
        </w:tc>
        <w:tc>
          <w:tcPr>
            <w:tcW w:w="236" w:type="dxa"/>
            <w:tcBorders>
              <w:top w:val="nil"/>
              <w:left w:val="nil"/>
              <w:bottom w:val="nil"/>
              <w:right w:val="nil"/>
            </w:tcBorders>
          </w:tcPr>
          <w:p w14:paraId="48B5EC7E"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599" w:type="dxa"/>
            <w:tcBorders>
              <w:top w:val="nil"/>
              <w:left w:val="nil"/>
              <w:bottom w:val="nil"/>
              <w:right w:val="nil"/>
            </w:tcBorders>
          </w:tcPr>
          <w:p w14:paraId="063E84BB"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328</w:t>
            </w:r>
          </w:p>
        </w:tc>
        <w:tc>
          <w:tcPr>
            <w:tcW w:w="236" w:type="dxa"/>
            <w:tcBorders>
              <w:top w:val="nil"/>
              <w:left w:val="nil"/>
              <w:bottom w:val="nil"/>
              <w:right w:val="nil"/>
            </w:tcBorders>
          </w:tcPr>
          <w:p w14:paraId="27769D14"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0C74C303"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4.604</w:t>
            </w:r>
          </w:p>
        </w:tc>
        <w:tc>
          <w:tcPr>
            <w:tcW w:w="236" w:type="dxa"/>
            <w:tcBorders>
              <w:top w:val="nil"/>
              <w:left w:val="nil"/>
              <w:bottom w:val="nil"/>
              <w:right w:val="nil"/>
            </w:tcBorders>
          </w:tcPr>
          <w:p w14:paraId="766A0D26"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5D875A72"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4.853</w:t>
            </w:r>
          </w:p>
        </w:tc>
        <w:tc>
          <w:tcPr>
            <w:tcW w:w="236" w:type="dxa"/>
            <w:tcBorders>
              <w:top w:val="nil"/>
              <w:left w:val="nil"/>
              <w:bottom w:val="nil"/>
              <w:right w:val="nil"/>
            </w:tcBorders>
          </w:tcPr>
          <w:p w14:paraId="2CA5BA21"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299" w:type="dxa"/>
            <w:tcBorders>
              <w:top w:val="nil"/>
              <w:left w:val="nil"/>
              <w:bottom w:val="nil"/>
              <w:right w:val="nil"/>
            </w:tcBorders>
          </w:tcPr>
          <w:p w14:paraId="6CE26159"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0.131</w:t>
            </w:r>
          </w:p>
        </w:tc>
        <w:tc>
          <w:tcPr>
            <w:tcW w:w="236" w:type="dxa"/>
            <w:tcBorders>
              <w:top w:val="nil"/>
              <w:left w:val="nil"/>
              <w:bottom w:val="nil"/>
              <w:right w:val="nil"/>
            </w:tcBorders>
          </w:tcPr>
          <w:p w14:paraId="43BD799C"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499" w:type="dxa"/>
            <w:tcBorders>
              <w:top w:val="nil"/>
              <w:left w:val="nil"/>
              <w:bottom w:val="nil"/>
              <w:right w:val="nil"/>
            </w:tcBorders>
          </w:tcPr>
          <w:p w14:paraId="56EF2D43"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0.007</w:t>
            </w:r>
          </w:p>
        </w:tc>
      </w:tr>
      <w:tr w:rsidR="00590671" w:rsidRPr="00590671" w14:paraId="347E89E2" w14:textId="77777777" w:rsidTr="00590671">
        <w:trPr>
          <w:trHeight w:val="305"/>
          <w:jc w:val="center"/>
        </w:trPr>
        <w:tc>
          <w:tcPr>
            <w:tcW w:w="1584" w:type="dxa"/>
            <w:tcBorders>
              <w:top w:val="nil"/>
              <w:left w:val="nil"/>
              <w:bottom w:val="nil"/>
              <w:right w:val="nil"/>
            </w:tcBorders>
          </w:tcPr>
          <w:p w14:paraId="43312902" w14:textId="77777777" w:rsidR="00590671" w:rsidRPr="00590671" w:rsidRDefault="00590671" w:rsidP="00590671">
            <w:pPr>
              <w:autoSpaceDE w:val="0"/>
              <w:autoSpaceDN w:val="0"/>
              <w:adjustRightInd w:val="0"/>
              <w:spacing w:after="0" w:line="240" w:lineRule="auto"/>
              <w:rPr>
                <w:rFonts w:ascii="Times New Roman" w:hAnsi="Times New Roman" w:cs="Times New Roman"/>
                <w:color w:val="000000"/>
                <w:sz w:val="24"/>
                <w:szCs w:val="24"/>
              </w:rPr>
            </w:pPr>
            <w:r w:rsidRPr="00590671">
              <w:rPr>
                <w:rFonts w:ascii="Times New Roman" w:hAnsi="Times New Roman" w:cs="Times New Roman"/>
                <w:color w:val="000000"/>
                <w:sz w:val="24"/>
                <w:szCs w:val="24"/>
              </w:rPr>
              <w:t>MVE</w:t>
            </w:r>
          </w:p>
        </w:tc>
        <w:tc>
          <w:tcPr>
            <w:tcW w:w="236" w:type="dxa"/>
            <w:tcBorders>
              <w:top w:val="nil"/>
              <w:left w:val="nil"/>
              <w:bottom w:val="nil"/>
              <w:right w:val="nil"/>
            </w:tcBorders>
          </w:tcPr>
          <w:p w14:paraId="4FFF1B13" w14:textId="77777777" w:rsidR="00590671" w:rsidRPr="00590671" w:rsidRDefault="00590671" w:rsidP="00590671">
            <w:pPr>
              <w:autoSpaceDE w:val="0"/>
              <w:autoSpaceDN w:val="0"/>
              <w:adjustRightInd w:val="0"/>
              <w:spacing w:after="0" w:line="240" w:lineRule="auto"/>
              <w:jc w:val="right"/>
              <w:rPr>
                <w:rFonts w:ascii="Times New Roman" w:hAnsi="Times New Roman" w:cs="Times New Roman"/>
                <w:color w:val="000000"/>
                <w:sz w:val="24"/>
                <w:szCs w:val="24"/>
              </w:rPr>
            </w:pPr>
          </w:p>
        </w:tc>
        <w:tc>
          <w:tcPr>
            <w:tcW w:w="599" w:type="dxa"/>
            <w:tcBorders>
              <w:top w:val="nil"/>
              <w:left w:val="nil"/>
              <w:bottom w:val="nil"/>
              <w:right w:val="nil"/>
            </w:tcBorders>
          </w:tcPr>
          <w:p w14:paraId="08BE9095"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328</w:t>
            </w:r>
          </w:p>
        </w:tc>
        <w:tc>
          <w:tcPr>
            <w:tcW w:w="236" w:type="dxa"/>
            <w:tcBorders>
              <w:top w:val="nil"/>
              <w:left w:val="nil"/>
              <w:bottom w:val="nil"/>
              <w:right w:val="nil"/>
            </w:tcBorders>
          </w:tcPr>
          <w:p w14:paraId="11BD4E18"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26699768"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4.351</w:t>
            </w:r>
          </w:p>
        </w:tc>
        <w:tc>
          <w:tcPr>
            <w:tcW w:w="236" w:type="dxa"/>
            <w:tcBorders>
              <w:top w:val="nil"/>
              <w:left w:val="nil"/>
              <w:bottom w:val="nil"/>
              <w:right w:val="nil"/>
            </w:tcBorders>
          </w:tcPr>
          <w:p w14:paraId="3BE23C76"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71363FE0"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4.014</w:t>
            </w:r>
          </w:p>
        </w:tc>
        <w:tc>
          <w:tcPr>
            <w:tcW w:w="236" w:type="dxa"/>
            <w:tcBorders>
              <w:top w:val="nil"/>
              <w:left w:val="nil"/>
              <w:bottom w:val="nil"/>
              <w:right w:val="nil"/>
            </w:tcBorders>
          </w:tcPr>
          <w:p w14:paraId="493D5961"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599" w:type="dxa"/>
            <w:tcBorders>
              <w:top w:val="nil"/>
              <w:left w:val="nil"/>
              <w:bottom w:val="nil"/>
              <w:right w:val="nil"/>
            </w:tcBorders>
          </w:tcPr>
          <w:p w14:paraId="519AB262"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328</w:t>
            </w:r>
          </w:p>
        </w:tc>
        <w:tc>
          <w:tcPr>
            <w:tcW w:w="236" w:type="dxa"/>
            <w:tcBorders>
              <w:top w:val="nil"/>
              <w:left w:val="nil"/>
              <w:bottom w:val="nil"/>
              <w:right w:val="nil"/>
            </w:tcBorders>
          </w:tcPr>
          <w:p w14:paraId="36BA32C4"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203A68E4"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4.563</w:t>
            </w:r>
          </w:p>
        </w:tc>
        <w:tc>
          <w:tcPr>
            <w:tcW w:w="236" w:type="dxa"/>
            <w:tcBorders>
              <w:top w:val="nil"/>
              <w:left w:val="nil"/>
              <w:bottom w:val="nil"/>
              <w:right w:val="nil"/>
            </w:tcBorders>
          </w:tcPr>
          <w:p w14:paraId="7BD6A494"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7474B2FB"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4.160</w:t>
            </w:r>
          </w:p>
        </w:tc>
        <w:tc>
          <w:tcPr>
            <w:tcW w:w="236" w:type="dxa"/>
            <w:tcBorders>
              <w:top w:val="nil"/>
              <w:left w:val="nil"/>
              <w:bottom w:val="nil"/>
              <w:right w:val="nil"/>
            </w:tcBorders>
          </w:tcPr>
          <w:p w14:paraId="3C0332B5"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299" w:type="dxa"/>
            <w:tcBorders>
              <w:top w:val="nil"/>
              <w:left w:val="nil"/>
              <w:bottom w:val="nil"/>
              <w:right w:val="nil"/>
            </w:tcBorders>
          </w:tcPr>
          <w:p w14:paraId="61BD1667"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0.212</w:t>
            </w:r>
          </w:p>
        </w:tc>
        <w:tc>
          <w:tcPr>
            <w:tcW w:w="236" w:type="dxa"/>
            <w:tcBorders>
              <w:top w:val="nil"/>
              <w:left w:val="nil"/>
              <w:bottom w:val="nil"/>
              <w:right w:val="nil"/>
            </w:tcBorders>
          </w:tcPr>
          <w:p w14:paraId="2E1166A7"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499" w:type="dxa"/>
            <w:tcBorders>
              <w:top w:val="nil"/>
              <w:left w:val="nil"/>
              <w:bottom w:val="nil"/>
              <w:right w:val="nil"/>
            </w:tcBorders>
          </w:tcPr>
          <w:p w14:paraId="6C9BEA75"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0.146</w:t>
            </w:r>
          </w:p>
        </w:tc>
      </w:tr>
      <w:tr w:rsidR="00590671" w:rsidRPr="00590671" w14:paraId="1D161E64" w14:textId="77777777" w:rsidTr="00590671">
        <w:trPr>
          <w:trHeight w:val="305"/>
          <w:jc w:val="center"/>
        </w:trPr>
        <w:tc>
          <w:tcPr>
            <w:tcW w:w="1584" w:type="dxa"/>
            <w:tcBorders>
              <w:top w:val="nil"/>
              <w:left w:val="nil"/>
              <w:bottom w:val="nil"/>
              <w:right w:val="nil"/>
            </w:tcBorders>
          </w:tcPr>
          <w:p w14:paraId="757C74D8" w14:textId="77777777" w:rsidR="00590671" w:rsidRPr="00590671" w:rsidRDefault="00590671" w:rsidP="00590671">
            <w:pPr>
              <w:autoSpaceDE w:val="0"/>
              <w:autoSpaceDN w:val="0"/>
              <w:adjustRightInd w:val="0"/>
              <w:spacing w:after="0" w:line="240" w:lineRule="auto"/>
              <w:rPr>
                <w:rFonts w:ascii="Times New Roman" w:hAnsi="Times New Roman" w:cs="Times New Roman"/>
                <w:color w:val="000000"/>
                <w:sz w:val="24"/>
                <w:szCs w:val="24"/>
              </w:rPr>
            </w:pPr>
            <w:r w:rsidRPr="00590671">
              <w:rPr>
                <w:rFonts w:ascii="Times New Roman" w:hAnsi="Times New Roman" w:cs="Times New Roman"/>
                <w:color w:val="000000"/>
                <w:sz w:val="24"/>
                <w:szCs w:val="24"/>
              </w:rPr>
              <w:t>Sales</w:t>
            </w:r>
          </w:p>
        </w:tc>
        <w:tc>
          <w:tcPr>
            <w:tcW w:w="236" w:type="dxa"/>
            <w:tcBorders>
              <w:top w:val="nil"/>
              <w:left w:val="nil"/>
              <w:bottom w:val="nil"/>
              <w:right w:val="nil"/>
            </w:tcBorders>
          </w:tcPr>
          <w:p w14:paraId="429B8931" w14:textId="77777777" w:rsidR="00590671" w:rsidRPr="00590671" w:rsidRDefault="00590671" w:rsidP="00590671">
            <w:pPr>
              <w:autoSpaceDE w:val="0"/>
              <w:autoSpaceDN w:val="0"/>
              <w:adjustRightInd w:val="0"/>
              <w:spacing w:after="0" w:line="240" w:lineRule="auto"/>
              <w:jc w:val="right"/>
              <w:rPr>
                <w:rFonts w:ascii="Times New Roman" w:hAnsi="Times New Roman" w:cs="Times New Roman"/>
                <w:color w:val="000000"/>
                <w:sz w:val="24"/>
                <w:szCs w:val="24"/>
              </w:rPr>
            </w:pPr>
          </w:p>
        </w:tc>
        <w:tc>
          <w:tcPr>
            <w:tcW w:w="599" w:type="dxa"/>
            <w:tcBorders>
              <w:top w:val="nil"/>
              <w:left w:val="nil"/>
              <w:bottom w:val="nil"/>
              <w:right w:val="nil"/>
            </w:tcBorders>
          </w:tcPr>
          <w:p w14:paraId="63EAE70E"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328</w:t>
            </w:r>
          </w:p>
        </w:tc>
        <w:tc>
          <w:tcPr>
            <w:tcW w:w="236" w:type="dxa"/>
            <w:tcBorders>
              <w:top w:val="nil"/>
              <w:left w:val="nil"/>
              <w:bottom w:val="nil"/>
              <w:right w:val="nil"/>
            </w:tcBorders>
          </w:tcPr>
          <w:p w14:paraId="45AEDE26"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608D3E61"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11.073</w:t>
            </w:r>
          </w:p>
        </w:tc>
        <w:tc>
          <w:tcPr>
            <w:tcW w:w="236" w:type="dxa"/>
            <w:tcBorders>
              <w:top w:val="nil"/>
              <w:left w:val="nil"/>
              <w:bottom w:val="nil"/>
              <w:right w:val="nil"/>
            </w:tcBorders>
          </w:tcPr>
          <w:p w14:paraId="259F02A1"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6034A9D6"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10.833</w:t>
            </w:r>
          </w:p>
        </w:tc>
        <w:tc>
          <w:tcPr>
            <w:tcW w:w="236" w:type="dxa"/>
            <w:tcBorders>
              <w:top w:val="nil"/>
              <w:left w:val="nil"/>
              <w:bottom w:val="nil"/>
              <w:right w:val="nil"/>
            </w:tcBorders>
          </w:tcPr>
          <w:p w14:paraId="5F645E4B"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599" w:type="dxa"/>
            <w:tcBorders>
              <w:top w:val="nil"/>
              <w:left w:val="nil"/>
              <w:bottom w:val="nil"/>
              <w:right w:val="nil"/>
            </w:tcBorders>
          </w:tcPr>
          <w:p w14:paraId="28823E23"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328</w:t>
            </w:r>
          </w:p>
        </w:tc>
        <w:tc>
          <w:tcPr>
            <w:tcW w:w="236" w:type="dxa"/>
            <w:tcBorders>
              <w:top w:val="nil"/>
              <w:left w:val="nil"/>
              <w:bottom w:val="nil"/>
              <w:right w:val="nil"/>
            </w:tcBorders>
          </w:tcPr>
          <w:p w14:paraId="279684DB"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54738B9E"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11.340</w:t>
            </w:r>
          </w:p>
        </w:tc>
        <w:tc>
          <w:tcPr>
            <w:tcW w:w="236" w:type="dxa"/>
            <w:tcBorders>
              <w:top w:val="nil"/>
              <w:left w:val="nil"/>
              <w:bottom w:val="nil"/>
              <w:right w:val="nil"/>
            </w:tcBorders>
          </w:tcPr>
          <w:p w14:paraId="6FBFFFDE"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33C7CED3"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11.017</w:t>
            </w:r>
          </w:p>
        </w:tc>
        <w:tc>
          <w:tcPr>
            <w:tcW w:w="236" w:type="dxa"/>
            <w:tcBorders>
              <w:top w:val="nil"/>
              <w:left w:val="nil"/>
              <w:bottom w:val="nil"/>
              <w:right w:val="nil"/>
            </w:tcBorders>
          </w:tcPr>
          <w:p w14:paraId="13565324"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299" w:type="dxa"/>
            <w:tcBorders>
              <w:top w:val="nil"/>
              <w:left w:val="nil"/>
              <w:bottom w:val="nil"/>
              <w:right w:val="nil"/>
            </w:tcBorders>
          </w:tcPr>
          <w:p w14:paraId="71C0416D"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0.267</w:t>
            </w:r>
          </w:p>
        </w:tc>
        <w:tc>
          <w:tcPr>
            <w:tcW w:w="236" w:type="dxa"/>
            <w:tcBorders>
              <w:top w:val="nil"/>
              <w:left w:val="nil"/>
              <w:bottom w:val="nil"/>
              <w:right w:val="nil"/>
            </w:tcBorders>
          </w:tcPr>
          <w:p w14:paraId="779AD906"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499" w:type="dxa"/>
            <w:tcBorders>
              <w:top w:val="nil"/>
              <w:left w:val="nil"/>
              <w:bottom w:val="nil"/>
              <w:right w:val="nil"/>
            </w:tcBorders>
          </w:tcPr>
          <w:p w14:paraId="0A84A0B6"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0.184*</w:t>
            </w:r>
          </w:p>
        </w:tc>
      </w:tr>
      <w:tr w:rsidR="00590671" w:rsidRPr="00590671" w14:paraId="7A8759D6" w14:textId="77777777" w:rsidTr="00590671">
        <w:trPr>
          <w:trHeight w:val="305"/>
          <w:jc w:val="center"/>
        </w:trPr>
        <w:tc>
          <w:tcPr>
            <w:tcW w:w="1584" w:type="dxa"/>
            <w:tcBorders>
              <w:top w:val="nil"/>
              <w:left w:val="nil"/>
              <w:bottom w:val="nil"/>
              <w:right w:val="nil"/>
            </w:tcBorders>
          </w:tcPr>
          <w:p w14:paraId="7498A59C" w14:textId="77777777" w:rsidR="00590671" w:rsidRPr="00590671" w:rsidRDefault="00590671" w:rsidP="00590671">
            <w:pPr>
              <w:autoSpaceDE w:val="0"/>
              <w:autoSpaceDN w:val="0"/>
              <w:adjustRightInd w:val="0"/>
              <w:spacing w:after="0" w:line="240" w:lineRule="auto"/>
              <w:rPr>
                <w:rFonts w:ascii="Times New Roman" w:hAnsi="Times New Roman" w:cs="Times New Roman"/>
                <w:color w:val="000000"/>
                <w:sz w:val="24"/>
                <w:szCs w:val="24"/>
              </w:rPr>
            </w:pPr>
            <w:r w:rsidRPr="00590671">
              <w:rPr>
                <w:rFonts w:ascii="Times New Roman" w:hAnsi="Times New Roman" w:cs="Times New Roman"/>
                <w:color w:val="000000"/>
                <w:sz w:val="24"/>
                <w:szCs w:val="24"/>
              </w:rPr>
              <w:t>Assets</w:t>
            </w:r>
          </w:p>
        </w:tc>
        <w:tc>
          <w:tcPr>
            <w:tcW w:w="236" w:type="dxa"/>
            <w:tcBorders>
              <w:top w:val="nil"/>
              <w:left w:val="nil"/>
              <w:bottom w:val="nil"/>
              <w:right w:val="nil"/>
            </w:tcBorders>
          </w:tcPr>
          <w:p w14:paraId="1F165639" w14:textId="77777777" w:rsidR="00590671" w:rsidRPr="00590671" w:rsidRDefault="00590671" w:rsidP="00590671">
            <w:pPr>
              <w:autoSpaceDE w:val="0"/>
              <w:autoSpaceDN w:val="0"/>
              <w:adjustRightInd w:val="0"/>
              <w:spacing w:after="0" w:line="240" w:lineRule="auto"/>
              <w:jc w:val="right"/>
              <w:rPr>
                <w:rFonts w:ascii="Times New Roman" w:hAnsi="Times New Roman" w:cs="Times New Roman"/>
                <w:color w:val="000000"/>
                <w:sz w:val="24"/>
                <w:szCs w:val="24"/>
              </w:rPr>
            </w:pPr>
          </w:p>
        </w:tc>
        <w:tc>
          <w:tcPr>
            <w:tcW w:w="599" w:type="dxa"/>
            <w:tcBorders>
              <w:top w:val="nil"/>
              <w:left w:val="nil"/>
              <w:bottom w:val="nil"/>
              <w:right w:val="nil"/>
            </w:tcBorders>
          </w:tcPr>
          <w:p w14:paraId="36F6889F"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328</w:t>
            </w:r>
          </w:p>
        </w:tc>
        <w:tc>
          <w:tcPr>
            <w:tcW w:w="236" w:type="dxa"/>
            <w:tcBorders>
              <w:top w:val="nil"/>
              <w:left w:val="nil"/>
              <w:bottom w:val="nil"/>
              <w:right w:val="nil"/>
            </w:tcBorders>
          </w:tcPr>
          <w:p w14:paraId="2AE41348"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0AC46AA1"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11.065</w:t>
            </w:r>
          </w:p>
        </w:tc>
        <w:tc>
          <w:tcPr>
            <w:tcW w:w="236" w:type="dxa"/>
            <w:tcBorders>
              <w:top w:val="nil"/>
              <w:left w:val="nil"/>
              <w:bottom w:val="nil"/>
              <w:right w:val="nil"/>
            </w:tcBorders>
          </w:tcPr>
          <w:p w14:paraId="2C3B622E"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7D324152"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10.936</w:t>
            </w:r>
          </w:p>
        </w:tc>
        <w:tc>
          <w:tcPr>
            <w:tcW w:w="236" w:type="dxa"/>
            <w:tcBorders>
              <w:top w:val="nil"/>
              <w:left w:val="nil"/>
              <w:bottom w:val="nil"/>
              <w:right w:val="nil"/>
            </w:tcBorders>
          </w:tcPr>
          <w:p w14:paraId="0C00D2FD"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599" w:type="dxa"/>
            <w:tcBorders>
              <w:top w:val="nil"/>
              <w:left w:val="nil"/>
              <w:bottom w:val="nil"/>
              <w:right w:val="nil"/>
            </w:tcBorders>
          </w:tcPr>
          <w:p w14:paraId="16AAF27A"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328</w:t>
            </w:r>
          </w:p>
        </w:tc>
        <w:tc>
          <w:tcPr>
            <w:tcW w:w="236" w:type="dxa"/>
            <w:tcBorders>
              <w:top w:val="nil"/>
              <w:left w:val="nil"/>
              <w:bottom w:val="nil"/>
              <w:right w:val="nil"/>
            </w:tcBorders>
          </w:tcPr>
          <w:p w14:paraId="3724FF7F"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216A886D"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11.414</w:t>
            </w:r>
          </w:p>
        </w:tc>
        <w:tc>
          <w:tcPr>
            <w:tcW w:w="236" w:type="dxa"/>
            <w:tcBorders>
              <w:top w:val="nil"/>
              <w:left w:val="nil"/>
              <w:bottom w:val="nil"/>
              <w:right w:val="nil"/>
            </w:tcBorders>
          </w:tcPr>
          <w:p w14:paraId="0F00768C"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1FD08E23"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11.056</w:t>
            </w:r>
          </w:p>
        </w:tc>
        <w:tc>
          <w:tcPr>
            <w:tcW w:w="236" w:type="dxa"/>
            <w:tcBorders>
              <w:top w:val="nil"/>
              <w:left w:val="nil"/>
              <w:bottom w:val="nil"/>
              <w:right w:val="nil"/>
            </w:tcBorders>
          </w:tcPr>
          <w:p w14:paraId="1EE98DD0"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299" w:type="dxa"/>
            <w:tcBorders>
              <w:top w:val="nil"/>
              <w:left w:val="nil"/>
              <w:bottom w:val="nil"/>
              <w:right w:val="nil"/>
            </w:tcBorders>
          </w:tcPr>
          <w:p w14:paraId="00F227C7"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0.348**</w:t>
            </w:r>
          </w:p>
        </w:tc>
        <w:tc>
          <w:tcPr>
            <w:tcW w:w="236" w:type="dxa"/>
            <w:tcBorders>
              <w:top w:val="nil"/>
              <w:left w:val="nil"/>
              <w:bottom w:val="nil"/>
              <w:right w:val="nil"/>
            </w:tcBorders>
          </w:tcPr>
          <w:p w14:paraId="64ECAE25"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499" w:type="dxa"/>
            <w:tcBorders>
              <w:top w:val="nil"/>
              <w:left w:val="nil"/>
              <w:bottom w:val="nil"/>
              <w:right w:val="nil"/>
            </w:tcBorders>
          </w:tcPr>
          <w:p w14:paraId="66E1ABC4"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0.120**</w:t>
            </w:r>
          </w:p>
        </w:tc>
      </w:tr>
      <w:tr w:rsidR="00590671" w:rsidRPr="00590671" w14:paraId="1010AC07" w14:textId="77777777" w:rsidTr="00590671">
        <w:trPr>
          <w:trHeight w:val="305"/>
          <w:jc w:val="center"/>
        </w:trPr>
        <w:tc>
          <w:tcPr>
            <w:tcW w:w="1584" w:type="dxa"/>
            <w:tcBorders>
              <w:top w:val="nil"/>
              <w:left w:val="nil"/>
              <w:bottom w:val="nil"/>
              <w:right w:val="nil"/>
            </w:tcBorders>
          </w:tcPr>
          <w:p w14:paraId="358E6C91" w14:textId="77777777" w:rsidR="00590671" w:rsidRPr="00590671" w:rsidRDefault="00590671" w:rsidP="00590671">
            <w:pPr>
              <w:autoSpaceDE w:val="0"/>
              <w:autoSpaceDN w:val="0"/>
              <w:adjustRightInd w:val="0"/>
              <w:spacing w:after="0" w:line="240" w:lineRule="auto"/>
              <w:rPr>
                <w:rFonts w:ascii="Times New Roman" w:hAnsi="Times New Roman" w:cs="Times New Roman"/>
                <w:color w:val="000000"/>
                <w:sz w:val="24"/>
                <w:szCs w:val="24"/>
              </w:rPr>
            </w:pPr>
            <w:r w:rsidRPr="00590671">
              <w:rPr>
                <w:rFonts w:ascii="Times New Roman" w:hAnsi="Times New Roman" w:cs="Times New Roman"/>
                <w:color w:val="000000"/>
                <w:sz w:val="24"/>
                <w:szCs w:val="24"/>
              </w:rPr>
              <w:t>Earnings</w:t>
            </w:r>
          </w:p>
        </w:tc>
        <w:tc>
          <w:tcPr>
            <w:tcW w:w="236" w:type="dxa"/>
            <w:tcBorders>
              <w:top w:val="nil"/>
              <w:left w:val="nil"/>
              <w:bottom w:val="nil"/>
              <w:right w:val="nil"/>
            </w:tcBorders>
          </w:tcPr>
          <w:p w14:paraId="33E7BA0A" w14:textId="77777777" w:rsidR="00590671" w:rsidRPr="00590671" w:rsidRDefault="00590671" w:rsidP="00590671">
            <w:pPr>
              <w:autoSpaceDE w:val="0"/>
              <w:autoSpaceDN w:val="0"/>
              <w:adjustRightInd w:val="0"/>
              <w:spacing w:after="0" w:line="240" w:lineRule="auto"/>
              <w:jc w:val="right"/>
              <w:rPr>
                <w:rFonts w:ascii="Times New Roman" w:hAnsi="Times New Roman" w:cs="Times New Roman"/>
                <w:color w:val="000000"/>
                <w:sz w:val="24"/>
                <w:szCs w:val="24"/>
              </w:rPr>
            </w:pPr>
          </w:p>
        </w:tc>
        <w:tc>
          <w:tcPr>
            <w:tcW w:w="599" w:type="dxa"/>
            <w:tcBorders>
              <w:top w:val="nil"/>
              <w:left w:val="nil"/>
              <w:bottom w:val="nil"/>
              <w:right w:val="nil"/>
            </w:tcBorders>
          </w:tcPr>
          <w:p w14:paraId="5BD8D06C"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328</w:t>
            </w:r>
          </w:p>
        </w:tc>
        <w:tc>
          <w:tcPr>
            <w:tcW w:w="236" w:type="dxa"/>
            <w:tcBorders>
              <w:top w:val="nil"/>
              <w:left w:val="nil"/>
              <w:bottom w:val="nil"/>
              <w:right w:val="nil"/>
            </w:tcBorders>
          </w:tcPr>
          <w:p w14:paraId="27C0A151"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23F9715A"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8.535</w:t>
            </w:r>
          </w:p>
        </w:tc>
        <w:tc>
          <w:tcPr>
            <w:tcW w:w="236" w:type="dxa"/>
            <w:tcBorders>
              <w:top w:val="nil"/>
              <w:left w:val="nil"/>
              <w:bottom w:val="nil"/>
              <w:right w:val="nil"/>
            </w:tcBorders>
          </w:tcPr>
          <w:p w14:paraId="337E43C4"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0DFA8747"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1.246</w:t>
            </w:r>
          </w:p>
        </w:tc>
        <w:tc>
          <w:tcPr>
            <w:tcW w:w="236" w:type="dxa"/>
            <w:tcBorders>
              <w:top w:val="nil"/>
              <w:left w:val="nil"/>
              <w:bottom w:val="nil"/>
              <w:right w:val="nil"/>
            </w:tcBorders>
          </w:tcPr>
          <w:p w14:paraId="5F2476CC"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599" w:type="dxa"/>
            <w:tcBorders>
              <w:top w:val="nil"/>
              <w:left w:val="nil"/>
              <w:bottom w:val="nil"/>
              <w:right w:val="nil"/>
            </w:tcBorders>
          </w:tcPr>
          <w:p w14:paraId="14EE5F4E"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328</w:t>
            </w:r>
          </w:p>
        </w:tc>
        <w:tc>
          <w:tcPr>
            <w:tcW w:w="236" w:type="dxa"/>
            <w:tcBorders>
              <w:top w:val="nil"/>
              <w:left w:val="nil"/>
              <w:bottom w:val="nil"/>
              <w:right w:val="nil"/>
            </w:tcBorders>
          </w:tcPr>
          <w:p w14:paraId="17CAFC18"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6135E681"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27.977</w:t>
            </w:r>
          </w:p>
        </w:tc>
        <w:tc>
          <w:tcPr>
            <w:tcW w:w="236" w:type="dxa"/>
            <w:tcBorders>
              <w:top w:val="nil"/>
              <w:left w:val="nil"/>
              <w:bottom w:val="nil"/>
              <w:right w:val="nil"/>
            </w:tcBorders>
          </w:tcPr>
          <w:p w14:paraId="6BD8CF22"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778F373F"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3.464</w:t>
            </w:r>
          </w:p>
        </w:tc>
        <w:tc>
          <w:tcPr>
            <w:tcW w:w="236" w:type="dxa"/>
            <w:tcBorders>
              <w:top w:val="nil"/>
              <w:left w:val="nil"/>
              <w:bottom w:val="nil"/>
              <w:right w:val="nil"/>
            </w:tcBorders>
          </w:tcPr>
          <w:p w14:paraId="4C475B4E"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299" w:type="dxa"/>
            <w:tcBorders>
              <w:top w:val="nil"/>
              <w:left w:val="nil"/>
              <w:bottom w:val="nil"/>
              <w:right w:val="nil"/>
            </w:tcBorders>
          </w:tcPr>
          <w:p w14:paraId="68869D12"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19.441***</w:t>
            </w:r>
          </w:p>
        </w:tc>
        <w:tc>
          <w:tcPr>
            <w:tcW w:w="236" w:type="dxa"/>
            <w:tcBorders>
              <w:top w:val="nil"/>
              <w:left w:val="nil"/>
              <w:bottom w:val="nil"/>
              <w:right w:val="nil"/>
            </w:tcBorders>
          </w:tcPr>
          <w:p w14:paraId="0F449E4C"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499" w:type="dxa"/>
            <w:tcBorders>
              <w:top w:val="nil"/>
              <w:left w:val="nil"/>
              <w:bottom w:val="nil"/>
              <w:right w:val="nil"/>
            </w:tcBorders>
          </w:tcPr>
          <w:p w14:paraId="56798C85"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2.218***</w:t>
            </w:r>
          </w:p>
        </w:tc>
      </w:tr>
      <w:tr w:rsidR="00590671" w:rsidRPr="00590671" w14:paraId="74ADD5F7" w14:textId="77777777" w:rsidTr="00590671">
        <w:trPr>
          <w:trHeight w:val="305"/>
          <w:jc w:val="center"/>
        </w:trPr>
        <w:tc>
          <w:tcPr>
            <w:tcW w:w="1584" w:type="dxa"/>
            <w:tcBorders>
              <w:top w:val="nil"/>
              <w:left w:val="nil"/>
              <w:bottom w:val="nil"/>
              <w:right w:val="nil"/>
            </w:tcBorders>
          </w:tcPr>
          <w:p w14:paraId="6AA4369F" w14:textId="77777777" w:rsidR="00590671" w:rsidRPr="00590671" w:rsidRDefault="00590671" w:rsidP="00590671">
            <w:pPr>
              <w:autoSpaceDE w:val="0"/>
              <w:autoSpaceDN w:val="0"/>
              <w:adjustRightInd w:val="0"/>
              <w:spacing w:after="0" w:line="240" w:lineRule="auto"/>
              <w:rPr>
                <w:rFonts w:ascii="Times New Roman" w:hAnsi="Times New Roman" w:cs="Times New Roman"/>
                <w:color w:val="000000"/>
                <w:sz w:val="24"/>
                <w:szCs w:val="24"/>
              </w:rPr>
            </w:pPr>
            <w:r w:rsidRPr="00590671">
              <w:rPr>
                <w:rFonts w:ascii="Times New Roman" w:hAnsi="Times New Roman" w:cs="Times New Roman"/>
                <w:color w:val="000000"/>
                <w:sz w:val="24"/>
                <w:szCs w:val="24"/>
              </w:rPr>
              <w:t>Sales Growth</w:t>
            </w:r>
          </w:p>
        </w:tc>
        <w:tc>
          <w:tcPr>
            <w:tcW w:w="236" w:type="dxa"/>
            <w:tcBorders>
              <w:top w:val="nil"/>
              <w:left w:val="nil"/>
              <w:bottom w:val="nil"/>
              <w:right w:val="nil"/>
            </w:tcBorders>
          </w:tcPr>
          <w:p w14:paraId="38D066CD" w14:textId="77777777" w:rsidR="00590671" w:rsidRPr="00590671" w:rsidRDefault="00590671" w:rsidP="00590671">
            <w:pPr>
              <w:autoSpaceDE w:val="0"/>
              <w:autoSpaceDN w:val="0"/>
              <w:adjustRightInd w:val="0"/>
              <w:spacing w:after="0" w:line="240" w:lineRule="auto"/>
              <w:jc w:val="right"/>
              <w:rPr>
                <w:rFonts w:ascii="Times New Roman" w:hAnsi="Times New Roman" w:cs="Times New Roman"/>
                <w:color w:val="000000"/>
                <w:sz w:val="24"/>
                <w:szCs w:val="24"/>
              </w:rPr>
            </w:pPr>
          </w:p>
        </w:tc>
        <w:tc>
          <w:tcPr>
            <w:tcW w:w="599" w:type="dxa"/>
            <w:tcBorders>
              <w:top w:val="nil"/>
              <w:left w:val="nil"/>
              <w:bottom w:val="nil"/>
              <w:right w:val="nil"/>
            </w:tcBorders>
          </w:tcPr>
          <w:p w14:paraId="2E0495AC"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328</w:t>
            </w:r>
          </w:p>
        </w:tc>
        <w:tc>
          <w:tcPr>
            <w:tcW w:w="236" w:type="dxa"/>
            <w:tcBorders>
              <w:top w:val="nil"/>
              <w:left w:val="nil"/>
              <w:bottom w:val="nil"/>
              <w:right w:val="nil"/>
            </w:tcBorders>
          </w:tcPr>
          <w:p w14:paraId="00EEC11A"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6272BF36"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0.098</w:t>
            </w:r>
          </w:p>
        </w:tc>
        <w:tc>
          <w:tcPr>
            <w:tcW w:w="236" w:type="dxa"/>
            <w:tcBorders>
              <w:top w:val="nil"/>
              <w:left w:val="nil"/>
              <w:bottom w:val="nil"/>
              <w:right w:val="nil"/>
            </w:tcBorders>
          </w:tcPr>
          <w:p w14:paraId="671E605E"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1363F514"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0.057</w:t>
            </w:r>
          </w:p>
        </w:tc>
        <w:tc>
          <w:tcPr>
            <w:tcW w:w="236" w:type="dxa"/>
            <w:tcBorders>
              <w:top w:val="nil"/>
              <w:left w:val="nil"/>
              <w:bottom w:val="nil"/>
              <w:right w:val="nil"/>
            </w:tcBorders>
          </w:tcPr>
          <w:p w14:paraId="7CBDCE90"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599" w:type="dxa"/>
            <w:tcBorders>
              <w:top w:val="nil"/>
              <w:left w:val="nil"/>
              <w:bottom w:val="nil"/>
              <w:right w:val="nil"/>
            </w:tcBorders>
          </w:tcPr>
          <w:p w14:paraId="18AA6366"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328</w:t>
            </w:r>
          </w:p>
        </w:tc>
        <w:tc>
          <w:tcPr>
            <w:tcW w:w="236" w:type="dxa"/>
            <w:tcBorders>
              <w:top w:val="nil"/>
              <w:left w:val="nil"/>
              <w:bottom w:val="nil"/>
              <w:right w:val="nil"/>
            </w:tcBorders>
          </w:tcPr>
          <w:p w14:paraId="5BB407E9"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24A056E7"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0.106</w:t>
            </w:r>
          </w:p>
        </w:tc>
        <w:tc>
          <w:tcPr>
            <w:tcW w:w="236" w:type="dxa"/>
            <w:tcBorders>
              <w:top w:val="nil"/>
              <w:left w:val="nil"/>
              <w:bottom w:val="nil"/>
              <w:right w:val="nil"/>
            </w:tcBorders>
          </w:tcPr>
          <w:p w14:paraId="3632ACEB"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51207468"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0.095</w:t>
            </w:r>
          </w:p>
        </w:tc>
        <w:tc>
          <w:tcPr>
            <w:tcW w:w="236" w:type="dxa"/>
            <w:tcBorders>
              <w:top w:val="nil"/>
              <w:left w:val="nil"/>
              <w:bottom w:val="nil"/>
              <w:right w:val="nil"/>
            </w:tcBorders>
          </w:tcPr>
          <w:p w14:paraId="651EAD18"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299" w:type="dxa"/>
            <w:tcBorders>
              <w:top w:val="nil"/>
              <w:left w:val="nil"/>
              <w:bottom w:val="nil"/>
              <w:right w:val="nil"/>
            </w:tcBorders>
          </w:tcPr>
          <w:p w14:paraId="64E36076"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0.009</w:t>
            </w:r>
          </w:p>
        </w:tc>
        <w:tc>
          <w:tcPr>
            <w:tcW w:w="236" w:type="dxa"/>
            <w:tcBorders>
              <w:top w:val="nil"/>
              <w:left w:val="nil"/>
              <w:bottom w:val="nil"/>
              <w:right w:val="nil"/>
            </w:tcBorders>
          </w:tcPr>
          <w:p w14:paraId="01F87A8B"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499" w:type="dxa"/>
            <w:tcBorders>
              <w:top w:val="nil"/>
              <w:left w:val="nil"/>
              <w:bottom w:val="nil"/>
              <w:right w:val="nil"/>
            </w:tcBorders>
          </w:tcPr>
          <w:p w14:paraId="3481DAA6"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0.038</w:t>
            </w:r>
          </w:p>
        </w:tc>
      </w:tr>
      <w:tr w:rsidR="00590671" w:rsidRPr="00590671" w14:paraId="339F19E7" w14:textId="77777777" w:rsidTr="00590671">
        <w:trPr>
          <w:trHeight w:val="305"/>
          <w:jc w:val="center"/>
        </w:trPr>
        <w:tc>
          <w:tcPr>
            <w:tcW w:w="1584" w:type="dxa"/>
            <w:tcBorders>
              <w:top w:val="nil"/>
              <w:left w:val="nil"/>
              <w:bottom w:val="nil"/>
              <w:right w:val="nil"/>
            </w:tcBorders>
          </w:tcPr>
          <w:p w14:paraId="4BF65665" w14:textId="77777777" w:rsidR="00590671" w:rsidRPr="00590671" w:rsidRDefault="00590671" w:rsidP="00590671">
            <w:pPr>
              <w:autoSpaceDE w:val="0"/>
              <w:autoSpaceDN w:val="0"/>
              <w:adjustRightInd w:val="0"/>
              <w:spacing w:after="0" w:line="240" w:lineRule="auto"/>
              <w:rPr>
                <w:rFonts w:ascii="Times New Roman" w:hAnsi="Times New Roman" w:cs="Times New Roman"/>
                <w:color w:val="000000"/>
                <w:sz w:val="24"/>
                <w:szCs w:val="24"/>
              </w:rPr>
            </w:pPr>
            <w:r w:rsidRPr="00590671">
              <w:rPr>
                <w:rFonts w:ascii="Times New Roman" w:hAnsi="Times New Roman" w:cs="Times New Roman"/>
                <w:color w:val="000000"/>
                <w:sz w:val="24"/>
                <w:szCs w:val="24"/>
              </w:rPr>
              <w:t>RD_Gwth</w:t>
            </w:r>
          </w:p>
        </w:tc>
        <w:tc>
          <w:tcPr>
            <w:tcW w:w="236" w:type="dxa"/>
            <w:tcBorders>
              <w:top w:val="nil"/>
              <w:left w:val="nil"/>
              <w:bottom w:val="nil"/>
              <w:right w:val="nil"/>
            </w:tcBorders>
          </w:tcPr>
          <w:p w14:paraId="445D4FA9" w14:textId="77777777" w:rsidR="00590671" w:rsidRPr="00590671" w:rsidRDefault="00590671" w:rsidP="00590671">
            <w:pPr>
              <w:autoSpaceDE w:val="0"/>
              <w:autoSpaceDN w:val="0"/>
              <w:adjustRightInd w:val="0"/>
              <w:spacing w:after="0" w:line="240" w:lineRule="auto"/>
              <w:jc w:val="right"/>
              <w:rPr>
                <w:rFonts w:ascii="Times New Roman" w:hAnsi="Times New Roman" w:cs="Times New Roman"/>
                <w:color w:val="000000"/>
                <w:sz w:val="24"/>
                <w:szCs w:val="24"/>
              </w:rPr>
            </w:pPr>
          </w:p>
        </w:tc>
        <w:tc>
          <w:tcPr>
            <w:tcW w:w="599" w:type="dxa"/>
            <w:tcBorders>
              <w:top w:val="nil"/>
              <w:left w:val="nil"/>
              <w:bottom w:val="nil"/>
              <w:right w:val="nil"/>
            </w:tcBorders>
          </w:tcPr>
          <w:p w14:paraId="4AC5E09C"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328</w:t>
            </w:r>
          </w:p>
        </w:tc>
        <w:tc>
          <w:tcPr>
            <w:tcW w:w="236" w:type="dxa"/>
            <w:tcBorders>
              <w:top w:val="nil"/>
              <w:left w:val="nil"/>
              <w:bottom w:val="nil"/>
              <w:right w:val="nil"/>
            </w:tcBorders>
          </w:tcPr>
          <w:p w14:paraId="24468ED3"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41E1F970"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0.092</w:t>
            </w:r>
          </w:p>
        </w:tc>
        <w:tc>
          <w:tcPr>
            <w:tcW w:w="236" w:type="dxa"/>
            <w:tcBorders>
              <w:top w:val="nil"/>
              <w:left w:val="nil"/>
              <w:bottom w:val="nil"/>
              <w:right w:val="nil"/>
            </w:tcBorders>
          </w:tcPr>
          <w:p w14:paraId="152B0DCA"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2FBCB887"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0.063</w:t>
            </w:r>
          </w:p>
        </w:tc>
        <w:tc>
          <w:tcPr>
            <w:tcW w:w="236" w:type="dxa"/>
            <w:tcBorders>
              <w:top w:val="nil"/>
              <w:left w:val="nil"/>
              <w:bottom w:val="nil"/>
              <w:right w:val="nil"/>
            </w:tcBorders>
          </w:tcPr>
          <w:p w14:paraId="75FFEB15"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599" w:type="dxa"/>
            <w:tcBorders>
              <w:top w:val="nil"/>
              <w:left w:val="nil"/>
              <w:bottom w:val="nil"/>
              <w:right w:val="nil"/>
            </w:tcBorders>
          </w:tcPr>
          <w:p w14:paraId="75EA6EE0"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328</w:t>
            </w:r>
          </w:p>
        </w:tc>
        <w:tc>
          <w:tcPr>
            <w:tcW w:w="236" w:type="dxa"/>
            <w:tcBorders>
              <w:top w:val="nil"/>
              <w:left w:val="nil"/>
              <w:bottom w:val="nil"/>
              <w:right w:val="nil"/>
            </w:tcBorders>
          </w:tcPr>
          <w:p w14:paraId="3DAC7718"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1C61A6F7"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0.176</w:t>
            </w:r>
          </w:p>
        </w:tc>
        <w:tc>
          <w:tcPr>
            <w:tcW w:w="236" w:type="dxa"/>
            <w:tcBorders>
              <w:top w:val="nil"/>
              <w:left w:val="nil"/>
              <w:bottom w:val="nil"/>
              <w:right w:val="nil"/>
            </w:tcBorders>
          </w:tcPr>
          <w:p w14:paraId="694F2400"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1C24FEC6"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0.108</w:t>
            </w:r>
          </w:p>
        </w:tc>
        <w:tc>
          <w:tcPr>
            <w:tcW w:w="236" w:type="dxa"/>
            <w:tcBorders>
              <w:top w:val="nil"/>
              <w:left w:val="nil"/>
              <w:bottom w:val="nil"/>
              <w:right w:val="nil"/>
            </w:tcBorders>
          </w:tcPr>
          <w:p w14:paraId="524EC58D"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299" w:type="dxa"/>
            <w:tcBorders>
              <w:top w:val="nil"/>
              <w:left w:val="nil"/>
              <w:bottom w:val="nil"/>
              <w:right w:val="nil"/>
            </w:tcBorders>
          </w:tcPr>
          <w:p w14:paraId="32FD80F9"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0.083**</w:t>
            </w:r>
          </w:p>
        </w:tc>
        <w:tc>
          <w:tcPr>
            <w:tcW w:w="236" w:type="dxa"/>
            <w:tcBorders>
              <w:top w:val="nil"/>
              <w:left w:val="nil"/>
              <w:bottom w:val="nil"/>
              <w:right w:val="nil"/>
            </w:tcBorders>
          </w:tcPr>
          <w:p w14:paraId="4249A6A0"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499" w:type="dxa"/>
            <w:tcBorders>
              <w:top w:val="nil"/>
              <w:left w:val="nil"/>
              <w:bottom w:val="nil"/>
              <w:right w:val="nil"/>
            </w:tcBorders>
          </w:tcPr>
          <w:p w14:paraId="1E8A1D9F"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0.045**</w:t>
            </w:r>
          </w:p>
        </w:tc>
      </w:tr>
      <w:tr w:rsidR="00590671" w:rsidRPr="00590671" w14:paraId="4B5283F8" w14:textId="77777777" w:rsidTr="00590671">
        <w:trPr>
          <w:trHeight w:val="305"/>
          <w:jc w:val="center"/>
        </w:trPr>
        <w:tc>
          <w:tcPr>
            <w:tcW w:w="1584" w:type="dxa"/>
            <w:tcBorders>
              <w:top w:val="nil"/>
              <w:left w:val="nil"/>
              <w:bottom w:val="nil"/>
              <w:right w:val="nil"/>
            </w:tcBorders>
          </w:tcPr>
          <w:p w14:paraId="79B19525" w14:textId="77777777" w:rsidR="00590671" w:rsidRPr="00590671" w:rsidRDefault="00590671" w:rsidP="00590671">
            <w:pPr>
              <w:autoSpaceDE w:val="0"/>
              <w:autoSpaceDN w:val="0"/>
              <w:adjustRightInd w:val="0"/>
              <w:spacing w:after="0" w:line="240" w:lineRule="auto"/>
              <w:rPr>
                <w:rFonts w:ascii="Times New Roman" w:hAnsi="Times New Roman" w:cs="Times New Roman"/>
                <w:color w:val="000000"/>
                <w:sz w:val="24"/>
                <w:szCs w:val="24"/>
              </w:rPr>
            </w:pPr>
            <w:r w:rsidRPr="00590671">
              <w:rPr>
                <w:rFonts w:ascii="Times New Roman" w:hAnsi="Times New Roman" w:cs="Times New Roman"/>
                <w:color w:val="000000"/>
                <w:sz w:val="24"/>
                <w:szCs w:val="24"/>
              </w:rPr>
              <w:t>RD_TA</w:t>
            </w:r>
          </w:p>
        </w:tc>
        <w:tc>
          <w:tcPr>
            <w:tcW w:w="236" w:type="dxa"/>
            <w:tcBorders>
              <w:top w:val="nil"/>
              <w:left w:val="nil"/>
              <w:bottom w:val="nil"/>
              <w:right w:val="nil"/>
            </w:tcBorders>
          </w:tcPr>
          <w:p w14:paraId="2CB3B1AA" w14:textId="77777777" w:rsidR="00590671" w:rsidRPr="00590671" w:rsidRDefault="00590671" w:rsidP="00590671">
            <w:pPr>
              <w:autoSpaceDE w:val="0"/>
              <w:autoSpaceDN w:val="0"/>
              <w:adjustRightInd w:val="0"/>
              <w:spacing w:after="0" w:line="240" w:lineRule="auto"/>
              <w:jc w:val="right"/>
              <w:rPr>
                <w:rFonts w:ascii="Times New Roman" w:hAnsi="Times New Roman" w:cs="Times New Roman"/>
                <w:color w:val="000000"/>
                <w:sz w:val="24"/>
                <w:szCs w:val="24"/>
              </w:rPr>
            </w:pPr>
          </w:p>
        </w:tc>
        <w:tc>
          <w:tcPr>
            <w:tcW w:w="599" w:type="dxa"/>
            <w:tcBorders>
              <w:top w:val="nil"/>
              <w:left w:val="nil"/>
              <w:bottom w:val="nil"/>
              <w:right w:val="nil"/>
            </w:tcBorders>
          </w:tcPr>
          <w:p w14:paraId="04B39F1A"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328</w:t>
            </w:r>
          </w:p>
        </w:tc>
        <w:tc>
          <w:tcPr>
            <w:tcW w:w="236" w:type="dxa"/>
            <w:tcBorders>
              <w:top w:val="nil"/>
              <w:left w:val="nil"/>
              <w:bottom w:val="nil"/>
              <w:right w:val="nil"/>
            </w:tcBorders>
          </w:tcPr>
          <w:p w14:paraId="79EB61D6"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56155430"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0.002</w:t>
            </w:r>
          </w:p>
        </w:tc>
        <w:tc>
          <w:tcPr>
            <w:tcW w:w="236" w:type="dxa"/>
            <w:tcBorders>
              <w:top w:val="nil"/>
              <w:left w:val="nil"/>
              <w:bottom w:val="nil"/>
              <w:right w:val="nil"/>
            </w:tcBorders>
          </w:tcPr>
          <w:p w14:paraId="0B4BA29D"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6FAA0719"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0.002</w:t>
            </w:r>
          </w:p>
        </w:tc>
        <w:tc>
          <w:tcPr>
            <w:tcW w:w="236" w:type="dxa"/>
            <w:tcBorders>
              <w:top w:val="nil"/>
              <w:left w:val="nil"/>
              <w:bottom w:val="nil"/>
              <w:right w:val="nil"/>
            </w:tcBorders>
          </w:tcPr>
          <w:p w14:paraId="68DF2E69"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599" w:type="dxa"/>
            <w:tcBorders>
              <w:top w:val="nil"/>
              <w:left w:val="nil"/>
              <w:bottom w:val="nil"/>
              <w:right w:val="nil"/>
            </w:tcBorders>
          </w:tcPr>
          <w:p w14:paraId="55045460"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328</w:t>
            </w:r>
          </w:p>
        </w:tc>
        <w:tc>
          <w:tcPr>
            <w:tcW w:w="236" w:type="dxa"/>
            <w:tcBorders>
              <w:top w:val="nil"/>
              <w:left w:val="nil"/>
              <w:bottom w:val="nil"/>
              <w:right w:val="nil"/>
            </w:tcBorders>
          </w:tcPr>
          <w:p w14:paraId="2225C5BD"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1E1F957D"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0.011</w:t>
            </w:r>
          </w:p>
        </w:tc>
        <w:tc>
          <w:tcPr>
            <w:tcW w:w="236" w:type="dxa"/>
            <w:tcBorders>
              <w:top w:val="nil"/>
              <w:left w:val="nil"/>
              <w:bottom w:val="nil"/>
              <w:right w:val="nil"/>
            </w:tcBorders>
          </w:tcPr>
          <w:p w14:paraId="3CB6AE3B"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4746F4C2"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0.004</w:t>
            </w:r>
          </w:p>
        </w:tc>
        <w:tc>
          <w:tcPr>
            <w:tcW w:w="236" w:type="dxa"/>
            <w:tcBorders>
              <w:top w:val="nil"/>
              <w:left w:val="nil"/>
              <w:bottom w:val="nil"/>
              <w:right w:val="nil"/>
            </w:tcBorders>
          </w:tcPr>
          <w:p w14:paraId="0828A2D4"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299" w:type="dxa"/>
            <w:tcBorders>
              <w:top w:val="nil"/>
              <w:left w:val="nil"/>
              <w:bottom w:val="nil"/>
              <w:right w:val="nil"/>
            </w:tcBorders>
          </w:tcPr>
          <w:p w14:paraId="19FB4528"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0.010***</w:t>
            </w:r>
          </w:p>
        </w:tc>
        <w:tc>
          <w:tcPr>
            <w:tcW w:w="236" w:type="dxa"/>
            <w:tcBorders>
              <w:top w:val="nil"/>
              <w:left w:val="nil"/>
              <w:bottom w:val="nil"/>
              <w:right w:val="nil"/>
            </w:tcBorders>
          </w:tcPr>
          <w:p w14:paraId="5798D477"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499" w:type="dxa"/>
            <w:tcBorders>
              <w:top w:val="nil"/>
              <w:left w:val="nil"/>
              <w:bottom w:val="nil"/>
              <w:right w:val="nil"/>
            </w:tcBorders>
          </w:tcPr>
          <w:p w14:paraId="1D1BB745"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0.002**</w:t>
            </w:r>
          </w:p>
        </w:tc>
      </w:tr>
      <w:tr w:rsidR="00590671" w:rsidRPr="00590671" w14:paraId="3A22C16C" w14:textId="77777777" w:rsidTr="00590671">
        <w:trPr>
          <w:trHeight w:val="305"/>
          <w:jc w:val="center"/>
        </w:trPr>
        <w:tc>
          <w:tcPr>
            <w:tcW w:w="1584" w:type="dxa"/>
            <w:tcBorders>
              <w:top w:val="nil"/>
              <w:left w:val="nil"/>
              <w:bottom w:val="nil"/>
              <w:right w:val="nil"/>
            </w:tcBorders>
          </w:tcPr>
          <w:p w14:paraId="379D99E2" w14:textId="77777777" w:rsidR="00590671" w:rsidRPr="00590671" w:rsidRDefault="00590671" w:rsidP="00590671">
            <w:pPr>
              <w:autoSpaceDE w:val="0"/>
              <w:autoSpaceDN w:val="0"/>
              <w:adjustRightInd w:val="0"/>
              <w:spacing w:after="0" w:line="240" w:lineRule="auto"/>
              <w:rPr>
                <w:rFonts w:ascii="Times New Roman" w:hAnsi="Times New Roman" w:cs="Times New Roman"/>
                <w:color w:val="000000"/>
                <w:sz w:val="24"/>
                <w:szCs w:val="24"/>
              </w:rPr>
            </w:pPr>
            <w:r w:rsidRPr="00590671">
              <w:rPr>
                <w:rFonts w:ascii="Times New Roman" w:hAnsi="Times New Roman" w:cs="Times New Roman"/>
                <w:color w:val="000000"/>
                <w:sz w:val="24"/>
                <w:szCs w:val="24"/>
              </w:rPr>
              <w:t>RD / Sales</w:t>
            </w:r>
          </w:p>
        </w:tc>
        <w:tc>
          <w:tcPr>
            <w:tcW w:w="236" w:type="dxa"/>
            <w:tcBorders>
              <w:top w:val="nil"/>
              <w:left w:val="nil"/>
              <w:bottom w:val="nil"/>
              <w:right w:val="nil"/>
            </w:tcBorders>
          </w:tcPr>
          <w:p w14:paraId="3425564F" w14:textId="77777777" w:rsidR="00590671" w:rsidRPr="00590671" w:rsidRDefault="00590671" w:rsidP="00590671">
            <w:pPr>
              <w:autoSpaceDE w:val="0"/>
              <w:autoSpaceDN w:val="0"/>
              <w:adjustRightInd w:val="0"/>
              <w:spacing w:after="0" w:line="240" w:lineRule="auto"/>
              <w:jc w:val="right"/>
              <w:rPr>
                <w:rFonts w:ascii="Times New Roman" w:hAnsi="Times New Roman" w:cs="Times New Roman"/>
                <w:color w:val="000000"/>
                <w:sz w:val="24"/>
                <w:szCs w:val="24"/>
              </w:rPr>
            </w:pPr>
          </w:p>
        </w:tc>
        <w:tc>
          <w:tcPr>
            <w:tcW w:w="599" w:type="dxa"/>
            <w:tcBorders>
              <w:top w:val="nil"/>
              <w:left w:val="nil"/>
              <w:bottom w:val="nil"/>
              <w:right w:val="nil"/>
            </w:tcBorders>
          </w:tcPr>
          <w:p w14:paraId="176CDB0F"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326</w:t>
            </w:r>
          </w:p>
        </w:tc>
        <w:tc>
          <w:tcPr>
            <w:tcW w:w="236" w:type="dxa"/>
            <w:tcBorders>
              <w:top w:val="nil"/>
              <w:left w:val="nil"/>
              <w:bottom w:val="nil"/>
              <w:right w:val="nil"/>
            </w:tcBorders>
          </w:tcPr>
          <w:p w14:paraId="461C976E"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51EA2DA7"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0.121</w:t>
            </w:r>
          </w:p>
        </w:tc>
        <w:tc>
          <w:tcPr>
            <w:tcW w:w="236" w:type="dxa"/>
            <w:tcBorders>
              <w:top w:val="nil"/>
              <w:left w:val="nil"/>
              <w:bottom w:val="nil"/>
              <w:right w:val="nil"/>
            </w:tcBorders>
          </w:tcPr>
          <w:p w14:paraId="1FE63F94"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5F21D76C"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0.052</w:t>
            </w:r>
          </w:p>
        </w:tc>
        <w:tc>
          <w:tcPr>
            <w:tcW w:w="236" w:type="dxa"/>
            <w:tcBorders>
              <w:top w:val="nil"/>
              <w:left w:val="nil"/>
              <w:bottom w:val="nil"/>
              <w:right w:val="nil"/>
            </w:tcBorders>
          </w:tcPr>
          <w:p w14:paraId="30522F17"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599" w:type="dxa"/>
            <w:tcBorders>
              <w:top w:val="nil"/>
              <w:left w:val="nil"/>
              <w:bottom w:val="nil"/>
              <w:right w:val="nil"/>
            </w:tcBorders>
          </w:tcPr>
          <w:p w14:paraId="5BE54B90"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328</w:t>
            </w:r>
          </w:p>
        </w:tc>
        <w:tc>
          <w:tcPr>
            <w:tcW w:w="236" w:type="dxa"/>
            <w:tcBorders>
              <w:top w:val="nil"/>
              <w:left w:val="nil"/>
              <w:bottom w:val="nil"/>
              <w:right w:val="nil"/>
            </w:tcBorders>
          </w:tcPr>
          <w:p w14:paraId="0690B4B9"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7871D5C6"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0.105</w:t>
            </w:r>
          </w:p>
        </w:tc>
        <w:tc>
          <w:tcPr>
            <w:tcW w:w="236" w:type="dxa"/>
            <w:tcBorders>
              <w:top w:val="nil"/>
              <w:left w:val="nil"/>
              <w:bottom w:val="nil"/>
              <w:right w:val="nil"/>
            </w:tcBorders>
          </w:tcPr>
          <w:p w14:paraId="42231274"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5687B9FD"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0.054</w:t>
            </w:r>
          </w:p>
        </w:tc>
        <w:tc>
          <w:tcPr>
            <w:tcW w:w="236" w:type="dxa"/>
            <w:tcBorders>
              <w:top w:val="nil"/>
              <w:left w:val="nil"/>
              <w:bottom w:val="nil"/>
              <w:right w:val="nil"/>
            </w:tcBorders>
          </w:tcPr>
          <w:p w14:paraId="2FF7148D"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299" w:type="dxa"/>
            <w:tcBorders>
              <w:top w:val="nil"/>
              <w:left w:val="nil"/>
              <w:bottom w:val="nil"/>
              <w:right w:val="nil"/>
            </w:tcBorders>
          </w:tcPr>
          <w:p w14:paraId="34DC1F71"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0.015***</w:t>
            </w:r>
          </w:p>
        </w:tc>
        <w:tc>
          <w:tcPr>
            <w:tcW w:w="236" w:type="dxa"/>
            <w:tcBorders>
              <w:top w:val="nil"/>
              <w:left w:val="nil"/>
              <w:bottom w:val="nil"/>
              <w:right w:val="nil"/>
            </w:tcBorders>
          </w:tcPr>
          <w:p w14:paraId="7BAF110E"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499" w:type="dxa"/>
            <w:tcBorders>
              <w:top w:val="nil"/>
              <w:left w:val="nil"/>
              <w:bottom w:val="nil"/>
              <w:right w:val="nil"/>
            </w:tcBorders>
          </w:tcPr>
          <w:p w14:paraId="062E5295"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0.001</w:t>
            </w:r>
          </w:p>
        </w:tc>
      </w:tr>
      <w:tr w:rsidR="00590671" w:rsidRPr="00590671" w14:paraId="584B7345" w14:textId="77777777" w:rsidTr="00590671">
        <w:trPr>
          <w:trHeight w:val="305"/>
          <w:jc w:val="center"/>
        </w:trPr>
        <w:tc>
          <w:tcPr>
            <w:tcW w:w="1584" w:type="dxa"/>
            <w:tcBorders>
              <w:top w:val="nil"/>
              <w:left w:val="nil"/>
              <w:bottom w:val="nil"/>
              <w:right w:val="nil"/>
            </w:tcBorders>
          </w:tcPr>
          <w:p w14:paraId="626314EA" w14:textId="77777777" w:rsidR="00590671" w:rsidRPr="00590671" w:rsidRDefault="00590671" w:rsidP="00590671">
            <w:pPr>
              <w:autoSpaceDE w:val="0"/>
              <w:autoSpaceDN w:val="0"/>
              <w:adjustRightInd w:val="0"/>
              <w:spacing w:after="0" w:line="240" w:lineRule="auto"/>
              <w:rPr>
                <w:rFonts w:ascii="Times New Roman" w:hAnsi="Times New Roman" w:cs="Times New Roman"/>
                <w:color w:val="000000"/>
                <w:sz w:val="24"/>
                <w:szCs w:val="24"/>
              </w:rPr>
            </w:pPr>
            <w:r w:rsidRPr="00590671">
              <w:rPr>
                <w:rFonts w:ascii="Times New Roman" w:hAnsi="Times New Roman" w:cs="Times New Roman"/>
                <w:color w:val="000000"/>
                <w:sz w:val="24"/>
                <w:szCs w:val="24"/>
              </w:rPr>
              <w:t>CAP%</w:t>
            </w:r>
          </w:p>
        </w:tc>
        <w:tc>
          <w:tcPr>
            <w:tcW w:w="236" w:type="dxa"/>
            <w:tcBorders>
              <w:top w:val="nil"/>
              <w:left w:val="nil"/>
              <w:bottom w:val="nil"/>
              <w:right w:val="nil"/>
            </w:tcBorders>
          </w:tcPr>
          <w:p w14:paraId="0E263631" w14:textId="77777777" w:rsidR="00590671" w:rsidRPr="00590671" w:rsidRDefault="00590671" w:rsidP="00590671">
            <w:pPr>
              <w:autoSpaceDE w:val="0"/>
              <w:autoSpaceDN w:val="0"/>
              <w:adjustRightInd w:val="0"/>
              <w:spacing w:after="0" w:line="240" w:lineRule="auto"/>
              <w:jc w:val="right"/>
              <w:rPr>
                <w:rFonts w:ascii="Times New Roman" w:hAnsi="Times New Roman" w:cs="Times New Roman"/>
                <w:color w:val="000000"/>
                <w:sz w:val="24"/>
                <w:szCs w:val="24"/>
              </w:rPr>
            </w:pPr>
          </w:p>
        </w:tc>
        <w:tc>
          <w:tcPr>
            <w:tcW w:w="599" w:type="dxa"/>
            <w:tcBorders>
              <w:top w:val="nil"/>
              <w:left w:val="nil"/>
              <w:bottom w:val="nil"/>
              <w:right w:val="nil"/>
            </w:tcBorders>
          </w:tcPr>
          <w:p w14:paraId="6AF9BFD4"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78</w:t>
            </w:r>
          </w:p>
        </w:tc>
        <w:tc>
          <w:tcPr>
            <w:tcW w:w="236" w:type="dxa"/>
            <w:tcBorders>
              <w:top w:val="nil"/>
              <w:left w:val="nil"/>
              <w:bottom w:val="nil"/>
              <w:right w:val="nil"/>
            </w:tcBorders>
          </w:tcPr>
          <w:p w14:paraId="0A41138B"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7D9761C8"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0.243</w:t>
            </w:r>
          </w:p>
        </w:tc>
        <w:tc>
          <w:tcPr>
            <w:tcW w:w="236" w:type="dxa"/>
            <w:tcBorders>
              <w:top w:val="nil"/>
              <w:left w:val="nil"/>
              <w:bottom w:val="nil"/>
              <w:right w:val="nil"/>
            </w:tcBorders>
          </w:tcPr>
          <w:p w14:paraId="338F2EE4"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1706B6C6"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0.106</w:t>
            </w:r>
          </w:p>
        </w:tc>
        <w:tc>
          <w:tcPr>
            <w:tcW w:w="236" w:type="dxa"/>
            <w:tcBorders>
              <w:top w:val="nil"/>
              <w:left w:val="nil"/>
              <w:bottom w:val="nil"/>
              <w:right w:val="nil"/>
            </w:tcBorders>
          </w:tcPr>
          <w:p w14:paraId="779E8A84"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599" w:type="dxa"/>
            <w:tcBorders>
              <w:top w:val="nil"/>
              <w:left w:val="nil"/>
              <w:bottom w:val="nil"/>
              <w:right w:val="nil"/>
            </w:tcBorders>
          </w:tcPr>
          <w:p w14:paraId="1834D9D3"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325</w:t>
            </w:r>
          </w:p>
        </w:tc>
        <w:tc>
          <w:tcPr>
            <w:tcW w:w="236" w:type="dxa"/>
            <w:tcBorders>
              <w:top w:val="nil"/>
              <w:left w:val="nil"/>
              <w:bottom w:val="nil"/>
              <w:right w:val="nil"/>
            </w:tcBorders>
          </w:tcPr>
          <w:p w14:paraId="3E952E79"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7C24A1FC"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0.373</w:t>
            </w:r>
          </w:p>
        </w:tc>
        <w:tc>
          <w:tcPr>
            <w:tcW w:w="236" w:type="dxa"/>
            <w:tcBorders>
              <w:top w:val="nil"/>
              <w:left w:val="nil"/>
              <w:bottom w:val="nil"/>
              <w:right w:val="nil"/>
            </w:tcBorders>
          </w:tcPr>
          <w:p w14:paraId="24672C12"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008" w:type="dxa"/>
            <w:tcBorders>
              <w:top w:val="nil"/>
              <w:left w:val="nil"/>
              <w:bottom w:val="nil"/>
              <w:right w:val="nil"/>
            </w:tcBorders>
          </w:tcPr>
          <w:p w14:paraId="25127B31"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0.264</w:t>
            </w:r>
          </w:p>
        </w:tc>
        <w:tc>
          <w:tcPr>
            <w:tcW w:w="236" w:type="dxa"/>
            <w:tcBorders>
              <w:top w:val="nil"/>
              <w:left w:val="nil"/>
              <w:bottom w:val="nil"/>
              <w:right w:val="nil"/>
            </w:tcBorders>
          </w:tcPr>
          <w:p w14:paraId="510CD9AC"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299" w:type="dxa"/>
            <w:tcBorders>
              <w:top w:val="nil"/>
              <w:left w:val="nil"/>
              <w:bottom w:val="nil"/>
              <w:right w:val="nil"/>
            </w:tcBorders>
          </w:tcPr>
          <w:p w14:paraId="75077146"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0.130***</w:t>
            </w:r>
          </w:p>
        </w:tc>
        <w:tc>
          <w:tcPr>
            <w:tcW w:w="236" w:type="dxa"/>
            <w:tcBorders>
              <w:top w:val="nil"/>
              <w:left w:val="nil"/>
              <w:bottom w:val="nil"/>
              <w:right w:val="nil"/>
            </w:tcBorders>
          </w:tcPr>
          <w:p w14:paraId="399189CF"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p>
        </w:tc>
        <w:tc>
          <w:tcPr>
            <w:tcW w:w="1499" w:type="dxa"/>
            <w:tcBorders>
              <w:top w:val="nil"/>
              <w:left w:val="nil"/>
              <w:bottom w:val="nil"/>
              <w:right w:val="nil"/>
            </w:tcBorders>
          </w:tcPr>
          <w:p w14:paraId="1F609BF3" w14:textId="77777777" w:rsidR="00590671" w:rsidRPr="00590671" w:rsidRDefault="00590671" w:rsidP="00590671">
            <w:pPr>
              <w:autoSpaceDE w:val="0"/>
              <w:autoSpaceDN w:val="0"/>
              <w:adjustRightInd w:val="0"/>
              <w:spacing w:after="0" w:line="240" w:lineRule="auto"/>
              <w:jc w:val="center"/>
              <w:rPr>
                <w:rFonts w:ascii="Times New Roman" w:hAnsi="Times New Roman" w:cs="Times New Roman"/>
                <w:color w:val="000000"/>
                <w:sz w:val="24"/>
                <w:szCs w:val="24"/>
              </w:rPr>
            </w:pPr>
            <w:r w:rsidRPr="00590671">
              <w:rPr>
                <w:rFonts w:ascii="Times New Roman" w:hAnsi="Times New Roman" w:cs="Times New Roman"/>
                <w:color w:val="000000"/>
                <w:sz w:val="24"/>
                <w:szCs w:val="24"/>
              </w:rPr>
              <w:t>0.1585***</w:t>
            </w:r>
          </w:p>
        </w:tc>
      </w:tr>
      <w:bookmarkEnd w:id="12"/>
    </w:tbl>
    <w:p w14:paraId="75AC12EB" w14:textId="5933DF22" w:rsidR="003808C1" w:rsidRDefault="003808C1" w:rsidP="00985B47">
      <w:pPr>
        <w:pBdr>
          <w:bottom w:val="single" w:sz="12" w:space="1" w:color="auto"/>
        </w:pBdr>
        <w:rPr>
          <w:rFonts w:ascii="Times New Roman" w:hAnsi="Times New Roman" w:cs="Times New Roman"/>
          <w:sz w:val="24"/>
          <w:szCs w:val="24"/>
          <w:u w:val="single"/>
        </w:rPr>
      </w:pPr>
    </w:p>
    <w:p w14:paraId="028624B6" w14:textId="77777777" w:rsidR="00590671" w:rsidRDefault="00590671" w:rsidP="00583BE3">
      <w:pPr>
        <w:spacing w:line="240" w:lineRule="auto"/>
        <w:ind w:left="720"/>
        <w:contextualSpacing/>
        <w:jc w:val="center"/>
        <w:outlineLvl w:val="0"/>
        <w:rPr>
          <w:rFonts w:ascii="Times New Roman" w:hAnsi="Times New Roman" w:cs="Times New Roman"/>
          <w:b/>
          <w:bCs/>
          <w:sz w:val="24"/>
          <w:szCs w:val="24"/>
        </w:rPr>
      </w:pPr>
      <w:bookmarkStart w:id="13" w:name="_Hlk26436149"/>
    </w:p>
    <w:p w14:paraId="5B2A2F6C" w14:textId="77777777" w:rsidR="00590671" w:rsidRDefault="00590671" w:rsidP="00583BE3">
      <w:pPr>
        <w:spacing w:line="240" w:lineRule="auto"/>
        <w:ind w:left="720"/>
        <w:contextualSpacing/>
        <w:jc w:val="center"/>
        <w:outlineLvl w:val="0"/>
        <w:rPr>
          <w:rFonts w:ascii="Times New Roman" w:hAnsi="Times New Roman" w:cs="Times New Roman"/>
          <w:b/>
          <w:bCs/>
          <w:sz w:val="24"/>
          <w:szCs w:val="24"/>
        </w:rPr>
      </w:pPr>
    </w:p>
    <w:p w14:paraId="07AD0A72" w14:textId="77777777" w:rsidR="00590671" w:rsidRDefault="00590671" w:rsidP="00583BE3">
      <w:pPr>
        <w:spacing w:line="240" w:lineRule="auto"/>
        <w:ind w:left="720"/>
        <w:contextualSpacing/>
        <w:jc w:val="center"/>
        <w:outlineLvl w:val="0"/>
        <w:rPr>
          <w:rFonts w:ascii="Times New Roman" w:hAnsi="Times New Roman" w:cs="Times New Roman"/>
          <w:b/>
          <w:bCs/>
          <w:sz w:val="24"/>
          <w:szCs w:val="24"/>
        </w:rPr>
      </w:pPr>
    </w:p>
    <w:p w14:paraId="0CFCEA57" w14:textId="77777777" w:rsidR="00590671" w:rsidRDefault="00590671" w:rsidP="00583BE3">
      <w:pPr>
        <w:spacing w:line="240" w:lineRule="auto"/>
        <w:ind w:left="720"/>
        <w:contextualSpacing/>
        <w:jc w:val="center"/>
        <w:outlineLvl w:val="0"/>
        <w:rPr>
          <w:rFonts w:ascii="Times New Roman" w:hAnsi="Times New Roman" w:cs="Times New Roman"/>
          <w:b/>
          <w:bCs/>
          <w:sz w:val="24"/>
          <w:szCs w:val="24"/>
        </w:rPr>
      </w:pPr>
    </w:p>
    <w:p w14:paraId="7558D284" w14:textId="77777777" w:rsidR="00590671" w:rsidRDefault="00590671" w:rsidP="00583BE3">
      <w:pPr>
        <w:spacing w:line="240" w:lineRule="auto"/>
        <w:ind w:left="720"/>
        <w:contextualSpacing/>
        <w:jc w:val="center"/>
        <w:outlineLvl w:val="0"/>
        <w:rPr>
          <w:rFonts w:ascii="Times New Roman" w:hAnsi="Times New Roman" w:cs="Times New Roman"/>
          <w:b/>
          <w:bCs/>
          <w:sz w:val="24"/>
          <w:szCs w:val="24"/>
        </w:rPr>
      </w:pPr>
    </w:p>
    <w:p w14:paraId="3C5EF7F3" w14:textId="77777777" w:rsidR="00B46EE5" w:rsidRDefault="00B46EE5" w:rsidP="00583BE3">
      <w:pPr>
        <w:spacing w:line="240" w:lineRule="auto"/>
        <w:ind w:left="720"/>
        <w:contextualSpacing/>
        <w:jc w:val="center"/>
        <w:outlineLvl w:val="0"/>
        <w:rPr>
          <w:rFonts w:ascii="Times New Roman" w:hAnsi="Times New Roman" w:cs="Times New Roman"/>
          <w:b/>
          <w:bCs/>
          <w:sz w:val="24"/>
          <w:szCs w:val="24"/>
        </w:rPr>
      </w:pPr>
    </w:p>
    <w:p w14:paraId="15B02CD0" w14:textId="77777777" w:rsidR="00B46EE5" w:rsidRDefault="00B46EE5" w:rsidP="00583BE3">
      <w:pPr>
        <w:spacing w:line="240" w:lineRule="auto"/>
        <w:ind w:left="720"/>
        <w:contextualSpacing/>
        <w:jc w:val="center"/>
        <w:outlineLvl w:val="0"/>
        <w:rPr>
          <w:rFonts w:ascii="Times New Roman" w:hAnsi="Times New Roman" w:cs="Times New Roman"/>
          <w:b/>
          <w:bCs/>
          <w:sz w:val="24"/>
          <w:szCs w:val="24"/>
        </w:rPr>
      </w:pPr>
    </w:p>
    <w:p w14:paraId="31384EAD" w14:textId="63858E47" w:rsidR="00807027" w:rsidRDefault="00807027" w:rsidP="00583BE3">
      <w:pPr>
        <w:spacing w:line="240" w:lineRule="auto"/>
        <w:ind w:left="720"/>
        <w:contextualSpacing/>
        <w:jc w:val="center"/>
        <w:outlineLvl w:val="0"/>
        <w:rPr>
          <w:rFonts w:ascii="Times New Roman" w:hAnsi="Times New Roman" w:cs="Times New Roman"/>
          <w:b/>
          <w:bCs/>
          <w:sz w:val="24"/>
          <w:szCs w:val="24"/>
        </w:rPr>
      </w:pPr>
      <w:r>
        <w:rPr>
          <w:rFonts w:ascii="Times New Roman" w:hAnsi="Times New Roman" w:cs="Times New Roman"/>
          <w:b/>
          <w:bCs/>
          <w:sz w:val="24"/>
          <w:szCs w:val="24"/>
        </w:rPr>
        <w:t>Table 3 - Continued</w:t>
      </w:r>
    </w:p>
    <w:p w14:paraId="582F01A3" w14:textId="77777777" w:rsidR="00807027" w:rsidRDefault="00807027" w:rsidP="00583BE3">
      <w:pPr>
        <w:pBdr>
          <w:bottom w:val="single" w:sz="12" w:space="1" w:color="auto"/>
        </w:pBdr>
        <w:spacing w:line="240" w:lineRule="auto"/>
        <w:ind w:left="720"/>
        <w:contextualSpacing/>
        <w:jc w:val="center"/>
        <w:outlineLvl w:val="0"/>
        <w:rPr>
          <w:rFonts w:ascii="Times New Roman" w:hAnsi="Times New Roman" w:cs="Times New Roman"/>
          <w:sz w:val="24"/>
          <w:szCs w:val="24"/>
          <w:vertAlign w:val="superscript"/>
        </w:rPr>
      </w:pPr>
      <w:r>
        <w:rPr>
          <w:rFonts w:ascii="Times New Roman" w:hAnsi="Times New Roman" w:cs="Times New Roman"/>
          <w:b/>
          <w:bCs/>
          <w:sz w:val="24"/>
          <w:szCs w:val="24"/>
        </w:rPr>
        <w:t>Descriptive Statistics</w:t>
      </w:r>
      <w:r>
        <w:rPr>
          <w:rFonts w:ascii="Times New Roman" w:hAnsi="Times New Roman" w:cs="Times New Roman"/>
          <w:b/>
          <w:bCs/>
          <w:sz w:val="24"/>
          <w:szCs w:val="24"/>
          <w:vertAlign w:val="superscript"/>
        </w:rPr>
        <w:t>a</w:t>
      </w:r>
    </w:p>
    <w:p w14:paraId="1E5EAC4C" w14:textId="77777777" w:rsidR="00807027" w:rsidRDefault="00807027" w:rsidP="00583BE3">
      <w:pPr>
        <w:ind w:left="720"/>
        <w:contextualSpacing/>
        <w:rPr>
          <w:rFonts w:ascii="Times New Roman" w:hAnsi="Times New Roman" w:cs="Times New Roman"/>
          <w:b/>
          <w:sz w:val="24"/>
          <w:szCs w:val="24"/>
        </w:rPr>
      </w:pPr>
    </w:p>
    <w:p w14:paraId="7E12A348" w14:textId="7A64A803" w:rsidR="003808C1" w:rsidRDefault="003808C1" w:rsidP="00583BE3">
      <w:pPr>
        <w:ind w:left="720"/>
        <w:rPr>
          <w:rFonts w:ascii="Times New Roman" w:hAnsi="Times New Roman" w:cs="Times New Roman"/>
          <w:b/>
          <w:sz w:val="24"/>
          <w:szCs w:val="24"/>
        </w:rPr>
      </w:pPr>
      <w:r>
        <w:rPr>
          <w:rFonts w:ascii="Times New Roman" w:hAnsi="Times New Roman" w:cs="Times New Roman"/>
          <w:b/>
          <w:sz w:val="24"/>
          <w:szCs w:val="24"/>
        </w:rPr>
        <w:t>Panel C: Difference in Mean / Median Between Capitalizers and Switchers</w:t>
      </w:r>
    </w:p>
    <w:tbl>
      <w:tblPr>
        <w:tblW w:w="8608" w:type="dxa"/>
        <w:jc w:val="center"/>
        <w:tblLook w:val="04A0" w:firstRow="1" w:lastRow="0" w:firstColumn="1" w:lastColumn="0" w:noHBand="0" w:noVBand="1"/>
      </w:tblPr>
      <w:tblGrid>
        <w:gridCol w:w="1560"/>
        <w:gridCol w:w="222"/>
        <w:gridCol w:w="1540"/>
        <w:gridCol w:w="222"/>
        <w:gridCol w:w="1540"/>
        <w:gridCol w:w="222"/>
        <w:gridCol w:w="1540"/>
        <w:gridCol w:w="222"/>
        <w:gridCol w:w="1540"/>
      </w:tblGrid>
      <w:tr w:rsidR="00600BB1" w:rsidRPr="00590671" w14:paraId="7EFD507D" w14:textId="77777777" w:rsidTr="00600BB1">
        <w:trPr>
          <w:trHeight w:val="315"/>
          <w:jc w:val="center"/>
        </w:trPr>
        <w:tc>
          <w:tcPr>
            <w:tcW w:w="1560" w:type="dxa"/>
            <w:tcBorders>
              <w:top w:val="nil"/>
              <w:left w:val="nil"/>
              <w:right w:val="nil"/>
            </w:tcBorders>
            <w:shd w:val="clear" w:color="auto" w:fill="auto"/>
            <w:noWrap/>
            <w:vAlign w:val="center"/>
          </w:tcPr>
          <w:p w14:paraId="38700B59" w14:textId="5C4AB3B1" w:rsidR="00600BB1" w:rsidRPr="00590671" w:rsidRDefault="00600BB1" w:rsidP="00590671">
            <w:pPr>
              <w:spacing w:after="0" w:line="240" w:lineRule="auto"/>
              <w:jc w:val="center"/>
              <w:rPr>
                <w:rFonts w:ascii="Times New Roman" w:eastAsia="Times New Roman" w:hAnsi="Times New Roman" w:cs="Times New Roman"/>
                <w:b/>
                <w:bCs/>
                <w:color w:val="000000"/>
                <w:sz w:val="24"/>
                <w:szCs w:val="24"/>
              </w:rPr>
            </w:pPr>
          </w:p>
        </w:tc>
        <w:tc>
          <w:tcPr>
            <w:tcW w:w="222" w:type="dxa"/>
            <w:tcBorders>
              <w:top w:val="nil"/>
              <w:left w:val="nil"/>
              <w:right w:val="nil"/>
            </w:tcBorders>
            <w:shd w:val="clear" w:color="auto" w:fill="auto"/>
            <w:noWrap/>
            <w:vAlign w:val="bottom"/>
          </w:tcPr>
          <w:p w14:paraId="3D703517" w14:textId="77777777" w:rsidR="00600BB1" w:rsidRPr="00590671" w:rsidRDefault="00600BB1" w:rsidP="00590671">
            <w:pPr>
              <w:spacing w:after="0" w:line="240" w:lineRule="auto"/>
              <w:jc w:val="center"/>
              <w:rPr>
                <w:rFonts w:ascii="Times New Roman" w:eastAsia="Times New Roman" w:hAnsi="Times New Roman" w:cs="Times New Roman"/>
                <w:b/>
                <w:bCs/>
                <w:color w:val="000000"/>
                <w:sz w:val="24"/>
                <w:szCs w:val="24"/>
              </w:rPr>
            </w:pPr>
          </w:p>
        </w:tc>
        <w:tc>
          <w:tcPr>
            <w:tcW w:w="3302" w:type="dxa"/>
            <w:gridSpan w:val="3"/>
            <w:tcBorders>
              <w:top w:val="nil"/>
              <w:left w:val="nil"/>
              <w:bottom w:val="single" w:sz="4" w:space="0" w:color="auto"/>
              <w:right w:val="nil"/>
            </w:tcBorders>
            <w:shd w:val="clear" w:color="auto" w:fill="auto"/>
            <w:noWrap/>
            <w:vAlign w:val="bottom"/>
          </w:tcPr>
          <w:p w14:paraId="2409477B" w14:textId="74358B35" w:rsidR="00600BB1" w:rsidRPr="00590671" w:rsidRDefault="00600BB1" w:rsidP="00590671">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UK GAAP</w:t>
            </w:r>
          </w:p>
        </w:tc>
        <w:tc>
          <w:tcPr>
            <w:tcW w:w="222" w:type="dxa"/>
            <w:tcBorders>
              <w:top w:val="nil"/>
              <w:left w:val="nil"/>
              <w:right w:val="nil"/>
            </w:tcBorders>
            <w:shd w:val="clear" w:color="auto" w:fill="auto"/>
            <w:noWrap/>
            <w:vAlign w:val="bottom"/>
          </w:tcPr>
          <w:p w14:paraId="1307FBD9" w14:textId="77777777" w:rsidR="00600BB1" w:rsidRPr="00590671" w:rsidRDefault="00600BB1" w:rsidP="00590671">
            <w:pPr>
              <w:spacing w:after="0" w:line="240" w:lineRule="auto"/>
              <w:jc w:val="center"/>
              <w:rPr>
                <w:rFonts w:ascii="Times New Roman" w:eastAsia="Times New Roman" w:hAnsi="Times New Roman" w:cs="Times New Roman"/>
                <w:b/>
                <w:bCs/>
                <w:color w:val="000000"/>
                <w:sz w:val="24"/>
                <w:szCs w:val="24"/>
              </w:rPr>
            </w:pPr>
          </w:p>
        </w:tc>
        <w:tc>
          <w:tcPr>
            <w:tcW w:w="3302" w:type="dxa"/>
            <w:gridSpan w:val="3"/>
            <w:tcBorders>
              <w:top w:val="nil"/>
              <w:left w:val="nil"/>
              <w:bottom w:val="single" w:sz="4" w:space="0" w:color="auto"/>
              <w:right w:val="nil"/>
            </w:tcBorders>
            <w:shd w:val="clear" w:color="auto" w:fill="auto"/>
            <w:noWrap/>
            <w:vAlign w:val="bottom"/>
          </w:tcPr>
          <w:p w14:paraId="51D54D24" w14:textId="22D065B4" w:rsidR="00600BB1" w:rsidRPr="00590671" w:rsidRDefault="00600BB1" w:rsidP="00590671">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IFRS</w:t>
            </w:r>
          </w:p>
        </w:tc>
      </w:tr>
      <w:tr w:rsidR="00590671" w:rsidRPr="00590671" w14:paraId="7537AB17" w14:textId="77777777" w:rsidTr="00600BB1">
        <w:trPr>
          <w:trHeight w:val="315"/>
          <w:jc w:val="center"/>
        </w:trPr>
        <w:tc>
          <w:tcPr>
            <w:tcW w:w="1560" w:type="dxa"/>
            <w:tcBorders>
              <w:left w:val="nil"/>
              <w:bottom w:val="single" w:sz="4" w:space="0" w:color="auto"/>
              <w:right w:val="nil"/>
            </w:tcBorders>
            <w:shd w:val="clear" w:color="auto" w:fill="auto"/>
            <w:noWrap/>
            <w:vAlign w:val="center"/>
          </w:tcPr>
          <w:p w14:paraId="42944647" w14:textId="2C5A6100" w:rsidR="00590671" w:rsidRPr="00590671" w:rsidRDefault="00590671" w:rsidP="00590671">
            <w:pPr>
              <w:spacing w:after="0" w:line="240" w:lineRule="auto"/>
              <w:jc w:val="center"/>
              <w:rPr>
                <w:rFonts w:ascii="Times New Roman" w:eastAsia="Times New Roman" w:hAnsi="Times New Roman" w:cs="Times New Roman"/>
                <w:b/>
                <w:bCs/>
                <w:color w:val="000000"/>
                <w:sz w:val="24"/>
                <w:szCs w:val="24"/>
              </w:rPr>
            </w:pPr>
            <w:r w:rsidRPr="00590671">
              <w:rPr>
                <w:rFonts w:ascii="Times New Roman" w:eastAsia="Times New Roman" w:hAnsi="Times New Roman" w:cs="Times New Roman"/>
                <w:b/>
                <w:bCs/>
                <w:color w:val="000000"/>
                <w:sz w:val="24"/>
                <w:szCs w:val="24"/>
              </w:rPr>
              <w:t>Variable</w:t>
            </w:r>
          </w:p>
        </w:tc>
        <w:tc>
          <w:tcPr>
            <w:tcW w:w="222" w:type="dxa"/>
            <w:tcBorders>
              <w:left w:val="nil"/>
              <w:bottom w:val="nil"/>
              <w:right w:val="nil"/>
            </w:tcBorders>
            <w:shd w:val="clear" w:color="auto" w:fill="auto"/>
            <w:noWrap/>
            <w:vAlign w:val="bottom"/>
          </w:tcPr>
          <w:p w14:paraId="4D58FB4B" w14:textId="77777777" w:rsidR="00590671" w:rsidRPr="00590671" w:rsidRDefault="00590671" w:rsidP="00590671">
            <w:pPr>
              <w:spacing w:after="0" w:line="240" w:lineRule="auto"/>
              <w:jc w:val="center"/>
              <w:rPr>
                <w:rFonts w:ascii="Times New Roman" w:eastAsia="Times New Roman" w:hAnsi="Times New Roman" w:cs="Times New Roman"/>
                <w:b/>
                <w:bCs/>
                <w:color w:val="000000"/>
                <w:sz w:val="24"/>
                <w:szCs w:val="24"/>
              </w:rPr>
            </w:pPr>
          </w:p>
        </w:tc>
        <w:tc>
          <w:tcPr>
            <w:tcW w:w="1540" w:type="dxa"/>
            <w:tcBorders>
              <w:top w:val="single" w:sz="4" w:space="0" w:color="auto"/>
              <w:left w:val="nil"/>
              <w:bottom w:val="single" w:sz="4" w:space="0" w:color="auto"/>
              <w:right w:val="nil"/>
            </w:tcBorders>
            <w:shd w:val="clear" w:color="auto" w:fill="auto"/>
            <w:noWrap/>
            <w:vAlign w:val="bottom"/>
          </w:tcPr>
          <w:p w14:paraId="69AD3C7E" w14:textId="22481651" w:rsidR="00590671" w:rsidRPr="00590671" w:rsidRDefault="00590671" w:rsidP="00590671">
            <w:pPr>
              <w:spacing w:after="0" w:line="240" w:lineRule="auto"/>
              <w:jc w:val="center"/>
              <w:rPr>
                <w:rFonts w:ascii="Times New Roman" w:eastAsia="Times New Roman" w:hAnsi="Times New Roman" w:cs="Times New Roman"/>
                <w:b/>
                <w:bCs/>
                <w:color w:val="000000"/>
                <w:sz w:val="24"/>
                <w:szCs w:val="24"/>
              </w:rPr>
            </w:pPr>
            <w:r w:rsidRPr="00590671">
              <w:rPr>
                <w:rFonts w:ascii="Times New Roman" w:eastAsia="Times New Roman" w:hAnsi="Times New Roman" w:cs="Times New Roman"/>
                <w:b/>
                <w:bCs/>
                <w:color w:val="000000"/>
                <w:sz w:val="24"/>
                <w:szCs w:val="24"/>
              </w:rPr>
              <w:t>Mean</w:t>
            </w:r>
          </w:p>
        </w:tc>
        <w:tc>
          <w:tcPr>
            <w:tcW w:w="222" w:type="dxa"/>
            <w:tcBorders>
              <w:top w:val="single" w:sz="4" w:space="0" w:color="auto"/>
              <w:left w:val="nil"/>
              <w:bottom w:val="nil"/>
              <w:right w:val="nil"/>
            </w:tcBorders>
            <w:shd w:val="clear" w:color="auto" w:fill="auto"/>
            <w:noWrap/>
            <w:vAlign w:val="bottom"/>
          </w:tcPr>
          <w:p w14:paraId="35F69C38" w14:textId="77777777" w:rsidR="00590671" w:rsidRPr="00590671" w:rsidRDefault="00590671" w:rsidP="00590671">
            <w:pPr>
              <w:spacing w:after="0" w:line="240" w:lineRule="auto"/>
              <w:jc w:val="center"/>
              <w:rPr>
                <w:rFonts w:ascii="Times New Roman" w:eastAsia="Times New Roman" w:hAnsi="Times New Roman" w:cs="Times New Roman"/>
                <w:b/>
                <w:bCs/>
                <w:color w:val="000000"/>
                <w:sz w:val="24"/>
                <w:szCs w:val="24"/>
              </w:rPr>
            </w:pPr>
          </w:p>
        </w:tc>
        <w:tc>
          <w:tcPr>
            <w:tcW w:w="1540" w:type="dxa"/>
            <w:tcBorders>
              <w:top w:val="single" w:sz="4" w:space="0" w:color="auto"/>
              <w:left w:val="nil"/>
              <w:bottom w:val="single" w:sz="4" w:space="0" w:color="auto"/>
              <w:right w:val="nil"/>
            </w:tcBorders>
            <w:shd w:val="clear" w:color="auto" w:fill="auto"/>
            <w:noWrap/>
            <w:vAlign w:val="bottom"/>
          </w:tcPr>
          <w:p w14:paraId="50D3E024" w14:textId="428CE8AF" w:rsidR="00590671" w:rsidRPr="00590671" w:rsidRDefault="00590671" w:rsidP="00590671">
            <w:pPr>
              <w:spacing w:after="0" w:line="240" w:lineRule="auto"/>
              <w:jc w:val="center"/>
              <w:rPr>
                <w:rFonts w:ascii="Times New Roman" w:eastAsia="Times New Roman" w:hAnsi="Times New Roman" w:cs="Times New Roman"/>
                <w:b/>
                <w:bCs/>
                <w:color w:val="000000"/>
                <w:sz w:val="24"/>
                <w:szCs w:val="24"/>
              </w:rPr>
            </w:pPr>
            <w:r w:rsidRPr="00590671">
              <w:rPr>
                <w:rFonts w:ascii="Times New Roman" w:eastAsia="Times New Roman" w:hAnsi="Times New Roman" w:cs="Times New Roman"/>
                <w:b/>
                <w:bCs/>
                <w:color w:val="000000"/>
                <w:sz w:val="24"/>
                <w:szCs w:val="24"/>
              </w:rPr>
              <w:t>Median</w:t>
            </w:r>
          </w:p>
        </w:tc>
        <w:tc>
          <w:tcPr>
            <w:tcW w:w="222" w:type="dxa"/>
            <w:tcBorders>
              <w:left w:val="nil"/>
              <w:bottom w:val="nil"/>
              <w:right w:val="nil"/>
            </w:tcBorders>
            <w:shd w:val="clear" w:color="auto" w:fill="auto"/>
            <w:noWrap/>
            <w:vAlign w:val="bottom"/>
          </w:tcPr>
          <w:p w14:paraId="6B4AB013" w14:textId="77777777" w:rsidR="00590671" w:rsidRPr="00590671" w:rsidRDefault="00590671" w:rsidP="00590671">
            <w:pPr>
              <w:spacing w:after="0" w:line="240" w:lineRule="auto"/>
              <w:jc w:val="center"/>
              <w:rPr>
                <w:rFonts w:ascii="Times New Roman" w:eastAsia="Times New Roman" w:hAnsi="Times New Roman" w:cs="Times New Roman"/>
                <w:b/>
                <w:bCs/>
                <w:color w:val="000000"/>
                <w:sz w:val="24"/>
                <w:szCs w:val="24"/>
              </w:rPr>
            </w:pPr>
          </w:p>
        </w:tc>
        <w:tc>
          <w:tcPr>
            <w:tcW w:w="1540" w:type="dxa"/>
            <w:tcBorders>
              <w:top w:val="single" w:sz="4" w:space="0" w:color="auto"/>
              <w:left w:val="nil"/>
              <w:bottom w:val="single" w:sz="4" w:space="0" w:color="auto"/>
              <w:right w:val="nil"/>
            </w:tcBorders>
            <w:shd w:val="clear" w:color="auto" w:fill="auto"/>
            <w:noWrap/>
            <w:vAlign w:val="bottom"/>
          </w:tcPr>
          <w:p w14:paraId="2B51B16E" w14:textId="32C75173" w:rsidR="00590671" w:rsidRPr="00590671" w:rsidRDefault="00590671" w:rsidP="00590671">
            <w:pPr>
              <w:spacing w:after="0" w:line="240" w:lineRule="auto"/>
              <w:jc w:val="center"/>
              <w:rPr>
                <w:rFonts w:ascii="Times New Roman" w:eastAsia="Times New Roman" w:hAnsi="Times New Roman" w:cs="Times New Roman"/>
                <w:b/>
                <w:bCs/>
                <w:color w:val="000000"/>
                <w:sz w:val="24"/>
                <w:szCs w:val="24"/>
              </w:rPr>
            </w:pPr>
            <w:r w:rsidRPr="00590671">
              <w:rPr>
                <w:rFonts w:ascii="Times New Roman" w:eastAsia="Times New Roman" w:hAnsi="Times New Roman" w:cs="Times New Roman"/>
                <w:b/>
                <w:bCs/>
                <w:color w:val="000000"/>
                <w:sz w:val="24"/>
                <w:szCs w:val="24"/>
              </w:rPr>
              <w:t>Mean</w:t>
            </w:r>
          </w:p>
        </w:tc>
        <w:tc>
          <w:tcPr>
            <w:tcW w:w="222" w:type="dxa"/>
            <w:tcBorders>
              <w:top w:val="single" w:sz="4" w:space="0" w:color="auto"/>
              <w:left w:val="nil"/>
              <w:bottom w:val="nil"/>
              <w:right w:val="nil"/>
            </w:tcBorders>
            <w:shd w:val="clear" w:color="auto" w:fill="auto"/>
            <w:noWrap/>
            <w:vAlign w:val="bottom"/>
          </w:tcPr>
          <w:p w14:paraId="78108B6B" w14:textId="77777777" w:rsidR="00590671" w:rsidRPr="00590671" w:rsidRDefault="00590671" w:rsidP="00590671">
            <w:pPr>
              <w:spacing w:after="0" w:line="240" w:lineRule="auto"/>
              <w:jc w:val="center"/>
              <w:rPr>
                <w:rFonts w:ascii="Times New Roman" w:eastAsia="Times New Roman" w:hAnsi="Times New Roman" w:cs="Times New Roman"/>
                <w:b/>
                <w:bCs/>
                <w:color w:val="000000"/>
                <w:sz w:val="24"/>
                <w:szCs w:val="24"/>
              </w:rPr>
            </w:pPr>
          </w:p>
        </w:tc>
        <w:tc>
          <w:tcPr>
            <w:tcW w:w="1540" w:type="dxa"/>
            <w:tcBorders>
              <w:top w:val="single" w:sz="4" w:space="0" w:color="auto"/>
              <w:left w:val="nil"/>
              <w:bottom w:val="single" w:sz="4" w:space="0" w:color="auto"/>
              <w:right w:val="nil"/>
            </w:tcBorders>
            <w:shd w:val="clear" w:color="auto" w:fill="auto"/>
            <w:noWrap/>
            <w:vAlign w:val="bottom"/>
          </w:tcPr>
          <w:p w14:paraId="2DC18C7F" w14:textId="238C7462" w:rsidR="00590671" w:rsidRPr="00590671" w:rsidRDefault="00590671" w:rsidP="00590671">
            <w:pPr>
              <w:spacing w:after="0" w:line="240" w:lineRule="auto"/>
              <w:jc w:val="center"/>
              <w:rPr>
                <w:rFonts w:ascii="Times New Roman" w:eastAsia="Times New Roman" w:hAnsi="Times New Roman" w:cs="Times New Roman"/>
                <w:b/>
                <w:bCs/>
                <w:color w:val="000000"/>
                <w:sz w:val="24"/>
                <w:szCs w:val="24"/>
              </w:rPr>
            </w:pPr>
            <w:r w:rsidRPr="00590671">
              <w:rPr>
                <w:rFonts w:ascii="Times New Roman" w:eastAsia="Times New Roman" w:hAnsi="Times New Roman" w:cs="Times New Roman"/>
                <w:b/>
                <w:bCs/>
                <w:color w:val="000000"/>
                <w:sz w:val="24"/>
                <w:szCs w:val="24"/>
              </w:rPr>
              <w:t>Median</w:t>
            </w:r>
          </w:p>
        </w:tc>
      </w:tr>
      <w:tr w:rsidR="00590671" w:rsidRPr="00590671" w14:paraId="320563BE" w14:textId="77777777" w:rsidTr="00600BB1">
        <w:trPr>
          <w:trHeight w:val="315"/>
          <w:jc w:val="center"/>
        </w:trPr>
        <w:tc>
          <w:tcPr>
            <w:tcW w:w="1560" w:type="dxa"/>
            <w:tcBorders>
              <w:top w:val="nil"/>
              <w:left w:val="nil"/>
              <w:bottom w:val="nil"/>
              <w:right w:val="nil"/>
            </w:tcBorders>
            <w:shd w:val="clear" w:color="auto" w:fill="auto"/>
            <w:noWrap/>
            <w:vAlign w:val="center"/>
            <w:hideMark/>
          </w:tcPr>
          <w:p w14:paraId="5705D99F" w14:textId="77777777" w:rsidR="00590671" w:rsidRPr="00590671" w:rsidRDefault="00590671" w:rsidP="00590671">
            <w:pPr>
              <w:spacing w:after="0" w:line="240" w:lineRule="auto"/>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Share Price</w:t>
            </w:r>
          </w:p>
        </w:tc>
        <w:tc>
          <w:tcPr>
            <w:tcW w:w="222" w:type="dxa"/>
            <w:tcBorders>
              <w:top w:val="nil"/>
              <w:left w:val="nil"/>
              <w:bottom w:val="nil"/>
              <w:right w:val="nil"/>
            </w:tcBorders>
            <w:shd w:val="clear" w:color="auto" w:fill="auto"/>
            <w:noWrap/>
            <w:vAlign w:val="bottom"/>
            <w:hideMark/>
          </w:tcPr>
          <w:p w14:paraId="167A9FAD" w14:textId="77777777" w:rsidR="00590671" w:rsidRPr="00590671" w:rsidRDefault="00590671" w:rsidP="00590671">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794C6D6F"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-0.442**</w:t>
            </w:r>
          </w:p>
        </w:tc>
        <w:tc>
          <w:tcPr>
            <w:tcW w:w="222" w:type="dxa"/>
            <w:tcBorders>
              <w:top w:val="nil"/>
              <w:left w:val="nil"/>
              <w:bottom w:val="nil"/>
              <w:right w:val="nil"/>
            </w:tcBorders>
            <w:shd w:val="clear" w:color="auto" w:fill="auto"/>
            <w:noWrap/>
            <w:vAlign w:val="bottom"/>
            <w:hideMark/>
          </w:tcPr>
          <w:p w14:paraId="040F475F"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5931A75B"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0.617***</w:t>
            </w:r>
          </w:p>
        </w:tc>
        <w:tc>
          <w:tcPr>
            <w:tcW w:w="222" w:type="dxa"/>
            <w:tcBorders>
              <w:top w:val="nil"/>
              <w:left w:val="nil"/>
              <w:bottom w:val="nil"/>
              <w:right w:val="nil"/>
            </w:tcBorders>
            <w:shd w:val="clear" w:color="auto" w:fill="auto"/>
            <w:noWrap/>
            <w:vAlign w:val="bottom"/>
            <w:hideMark/>
          </w:tcPr>
          <w:p w14:paraId="60EE2F77"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2C9FC72B"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-1.054***</w:t>
            </w:r>
          </w:p>
        </w:tc>
        <w:tc>
          <w:tcPr>
            <w:tcW w:w="222" w:type="dxa"/>
            <w:tcBorders>
              <w:top w:val="nil"/>
              <w:left w:val="nil"/>
              <w:bottom w:val="nil"/>
              <w:right w:val="nil"/>
            </w:tcBorders>
            <w:shd w:val="clear" w:color="auto" w:fill="auto"/>
            <w:noWrap/>
            <w:vAlign w:val="bottom"/>
            <w:hideMark/>
          </w:tcPr>
          <w:p w14:paraId="08A8756C"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41AD5792"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-1.222***</w:t>
            </w:r>
          </w:p>
        </w:tc>
      </w:tr>
      <w:tr w:rsidR="00590671" w:rsidRPr="00590671" w14:paraId="1A0B6943" w14:textId="77777777" w:rsidTr="00600BB1">
        <w:trPr>
          <w:trHeight w:val="315"/>
          <w:jc w:val="center"/>
        </w:trPr>
        <w:tc>
          <w:tcPr>
            <w:tcW w:w="1560" w:type="dxa"/>
            <w:tcBorders>
              <w:top w:val="nil"/>
              <w:left w:val="nil"/>
              <w:bottom w:val="nil"/>
              <w:right w:val="nil"/>
            </w:tcBorders>
            <w:shd w:val="clear" w:color="auto" w:fill="auto"/>
            <w:noWrap/>
            <w:vAlign w:val="center"/>
            <w:hideMark/>
          </w:tcPr>
          <w:p w14:paraId="13D0327D" w14:textId="77777777" w:rsidR="00590671" w:rsidRPr="00590671" w:rsidRDefault="00590671" w:rsidP="00590671">
            <w:pPr>
              <w:spacing w:after="0" w:line="240" w:lineRule="auto"/>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MVE</w:t>
            </w:r>
          </w:p>
        </w:tc>
        <w:tc>
          <w:tcPr>
            <w:tcW w:w="222" w:type="dxa"/>
            <w:tcBorders>
              <w:top w:val="nil"/>
              <w:left w:val="nil"/>
              <w:bottom w:val="nil"/>
              <w:right w:val="nil"/>
            </w:tcBorders>
            <w:shd w:val="clear" w:color="auto" w:fill="auto"/>
            <w:noWrap/>
            <w:vAlign w:val="bottom"/>
            <w:hideMark/>
          </w:tcPr>
          <w:p w14:paraId="352D9D4F" w14:textId="77777777" w:rsidR="00590671" w:rsidRPr="00590671" w:rsidRDefault="00590671" w:rsidP="00590671">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31F8A682"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-0.386**</w:t>
            </w:r>
          </w:p>
        </w:tc>
        <w:tc>
          <w:tcPr>
            <w:tcW w:w="222" w:type="dxa"/>
            <w:tcBorders>
              <w:top w:val="nil"/>
              <w:left w:val="nil"/>
              <w:bottom w:val="nil"/>
              <w:right w:val="nil"/>
            </w:tcBorders>
            <w:shd w:val="clear" w:color="auto" w:fill="auto"/>
            <w:noWrap/>
            <w:vAlign w:val="bottom"/>
            <w:hideMark/>
          </w:tcPr>
          <w:p w14:paraId="2B1895A8"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69320BFF"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-0.278</w:t>
            </w:r>
          </w:p>
        </w:tc>
        <w:tc>
          <w:tcPr>
            <w:tcW w:w="222" w:type="dxa"/>
            <w:tcBorders>
              <w:top w:val="nil"/>
              <w:left w:val="nil"/>
              <w:bottom w:val="nil"/>
              <w:right w:val="nil"/>
            </w:tcBorders>
            <w:shd w:val="clear" w:color="auto" w:fill="auto"/>
            <w:noWrap/>
            <w:vAlign w:val="bottom"/>
            <w:hideMark/>
          </w:tcPr>
          <w:p w14:paraId="400317CB"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51B49EA3"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-0.788***</w:t>
            </w:r>
          </w:p>
        </w:tc>
        <w:tc>
          <w:tcPr>
            <w:tcW w:w="222" w:type="dxa"/>
            <w:tcBorders>
              <w:top w:val="nil"/>
              <w:left w:val="nil"/>
              <w:bottom w:val="nil"/>
              <w:right w:val="nil"/>
            </w:tcBorders>
            <w:shd w:val="clear" w:color="auto" w:fill="auto"/>
            <w:noWrap/>
            <w:vAlign w:val="bottom"/>
            <w:hideMark/>
          </w:tcPr>
          <w:p w14:paraId="1936AF87"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61F89F7D"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-0.975***</w:t>
            </w:r>
          </w:p>
        </w:tc>
      </w:tr>
      <w:tr w:rsidR="00590671" w:rsidRPr="00590671" w14:paraId="3F3AE0B9" w14:textId="77777777" w:rsidTr="00600BB1">
        <w:trPr>
          <w:trHeight w:val="315"/>
          <w:jc w:val="center"/>
        </w:trPr>
        <w:tc>
          <w:tcPr>
            <w:tcW w:w="1560" w:type="dxa"/>
            <w:tcBorders>
              <w:top w:val="nil"/>
              <w:left w:val="nil"/>
              <w:bottom w:val="nil"/>
              <w:right w:val="nil"/>
            </w:tcBorders>
            <w:shd w:val="clear" w:color="auto" w:fill="auto"/>
            <w:noWrap/>
            <w:vAlign w:val="center"/>
            <w:hideMark/>
          </w:tcPr>
          <w:p w14:paraId="42D1E391" w14:textId="77777777" w:rsidR="00590671" w:rsidRPr="00590671" w:rsidRDefault="00590671" w:rsidP="00590671">
            <w:pPr>
              <w:spacing w:after="0" w:line="240" w:lineRule="auto"/>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Sales</w:t>
            </w:r>
          </w:p>
        </w:tc>
        <w:tc>
          <w:tcPr>
            <w:tcW w:w="222" w:type="dxa"/>
            <w:tcBorders>
              <w:top w:val="nil"/>
              <w:left w:val="nil"/>
              <w:bottom w:val="nil"/>
              <w:right w:val="nil"/>
            </w:tcBorders>
            <w:shd w:val="clear" w:color="auto" w:fill="auto"/>
            <w:noWrap/>
            <w:vAlign w:val="bottom"/>
            <w:hideMark/>
          </w:tcPr>
          <w:p w14:paraId="0913FC4F" w14:textId="77777777" w:rsidR="00590671" w:rsidRPr="00590671" w:rsidRDefault="00590671" w:rsidP="00590671">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5EC312E0"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-0.564**</w:t>
            </w:r>
          </w:p>
        </w:tc>
        <w:tc>
          <w:tcPr>
            <w:tcW w:w="222" w:type="dxa"/>
            <w:tcBorders>
              <w:top w:val="nil"/>
              <w:left w:val="nil"/>
              <w:bottom w:val="nil"/>
              <w:right w:val="nil"/>
            </w:tcBorders>
            <w:shd w:val="clear" w:color="auto" w:fill="auto"/>
            <w:noWrap/>
            <w:vAlign w:val="bottom"/>
            <w:hideMark/>
          </w:tcPr>
          <w:p w14:paraId="7CB813B5"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3CD8FC04"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-0.378**</w:t>
            </w:r>
          </w:p>
        </w:tc>
        <w:tc>
          <w:tcPr>
            <w:tcW w:w="222" w:type="dxa"/>
            <w:tcBorders>
              <w:top w:val="nil"/>
              <w:left w:val="nil"/>
              <w:bottom w:val="nil"/>
              <w:right w:val="nil"/>
            </w:tcBorders>
            <w:shd w:val="clear" w:color="auto" w:fill="auto"/>
            <w:noWrap/>
            <w:vAlign w:val="bottom"/>
            <w:hideMark/>
          </w:tcPr>
          <w:p w14:paraId="6B4909A1"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6C036012"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-0.753***</w:t>
            </w:r>
          </w:p>
        </w:tc>
        <w:tc>
          <w:tcPr>
            <w:tcW w:w="222" w:type="dxa"/>
            <w:tcBorders>
              <w:top w:val="nil"/>
              <w:left w:val="nil"/>
              <w:bottom w:val="nil"/>
              <w:right w:val="nil"/>
            </w:tcBorders>
            <w:shd w:val="clear" w:color="auto" w:fill="auto"/>
            <w:noWrap/>
            <w:vAlign w:val="bottom"/>
            <w:hideMark/>
          </w:tcPr>
          <w:p w14:paraId="588972AC"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2C010C20"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-1.090***</w:t>
            </w:r>
          </w:p>
        </w:tc>
      </w:tr>
      <w:tr w:rsidR="00590671" w:rsidRPr="00590671" w14:paraId="533BE9F6" w14:textId="77777777" w:rsidTr="00600BB1">
        <w:trPr>
          <w:trHeight w:val="315"/>
          <w:jc w:val="center"/>
        </w:trPr>
        <w:tc>
          <w:tcPr>
            <w:tcW w:w="1560" w:type="dxa"/>
            <w:tcBorders>
              <w:top w:val="nil"/>
              <w:left w:val="nil"/>
              <w:bottom w:val="nil"/>
              <w:right w:val="nil"/>
            </w:tcBorders>
            <w:shd w:val="clear" w:color="auto" w:fill="auto"/>
            <w:noWrap/>
            <w:vAlign w:val="center"/>
            <w:hideMark/>
          </w:tcPr>
          <w:p w14:paraId="50CBDC6B" w14:textId="77777777" w:rsidR="00590671" w:rsidRPr="00590671" w:rsidRDefault="00590671" w:rsidP="00590671">
            <w:pPr>
              <w:spacing w:after="0" w:line="240" w:lineRule="auto"/>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Assets</w:t>
            </w:r>
          </w:p>
        </w:tc>
        <w:tc>
          <w:tcPr>
            <w:tcW w:w="222" w:type="dxa"/>
            <w:tcBorders>
              <w:top w:val="nil"/>
              <w:left w:val="nil"/>
              <w:bottom w:val="nil"/>
              <w:right w:val="nil"/>
            </w:tcBorders>
            <w:shd w:val="clear" w:color="auto" w:fill="auto"/>
            <w:noWrap/>
            <w:vAlign w:val="bottom"/>
            <w:hideMark/>
          </w:tcPr>
          <w:p w14:paraId="37D3CC17" w14:textId="77777777" w:rsidR="00590671" w:rsidRPr="00590671" w:rsidRDefault="00590671" w:rsidP="00590671">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53495251"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-0.315</w:t>
            </w:r>
          </w:p>
        </w:tc>
        <w:tc>
          <w:tcPr>
            <w:tcW w:w="222" w:type="dxa"/>
            <w:tcBorders>
              <w:top w:val="nil"/>
              <w:left w:val="nil"/>
              <w:bottom w:val="nil"/>
              <w:right w:val="nil"/>
            </w:tcBorders>
            <w:shd w:val="clear" w:color="auto" w:fill="auto"/>
            <w:noWrap/>
            <w:vAlign w:val="bottom"/>
            <w:hideMark/>
          </w:tcPr>
          <w:p w14:paraId="3EE7BD99"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5B617E0F"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-0.479</w:t>
            </w:r>
          </w:p>
        </w:tc>
        <w:tc>
          <w:tcPr>
            <w:tcW w:w="222" w:type="dxa"/>
            <w:tcBorders>
              <w:top w:val="nil"/>
              <w:left w:val="nil"/>
              <w:bottom w:val="nil"/>
              <w:right w:val="nil"/>
            </w:tcBorders>
            <w:shd w:val="clear" w:color="auto" w:fill="auto"/>
            <w:noWrap/>
            <w:vAlign w:val="bottom"/>
            <w:hideMark/>
          </w:tcPr>
          <w:p w14:paraId="462DD95E"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67F8D5C5"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-0.462*</w:t>
            </w:r>
          </w:p>
        </w:tc>
        <w:tc>
          <w:tcPr>
            <w:tcW w:w="222" w:type="dxa"/>
            <w:tcBorders>
              <w:top w:val="nil"/>
              <w:left w:val="nil"/>
              <w:bottom w:val="nil"/>
              <w:right w:val="nil"/>
            </w:tcBorders>
            <w:shd w:val="clear" w:color="auto" w:fill="auto"/>
            <w:noWrap/>
            <w:vAlign w:val="bottom"/>
            <w:hideMark/>
          </w:tcPr>
          <w:p w14:paraId="502DD29D"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08F5A808"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-0.489**</w:t>
            </w:r>
          </w:p>
        </w:tc>
      </w:tr>
      <w:tr w:rsidR="00590671" w:rsidRPr="00590671" w14:paraId="72D993BE" w14:textId="77777777" w:rsidTr="00600BB1">
        <w:trPr>
          <w:trHeight w:val="315"/>
          <w:jc w:val="center"/>
        </w:trPr>
        <w:tc>
          <w:tcPr>
            <w:tcW w:w="1560" w:type="dxa"/>
            <w:tcBorders>
              <w:top w:val="nil"/>
              <w:left w:val="nil"/>
              <w:bottom w:val="nil"/>
              <w:right w:val="nil"/>
            </w:tcBorders>
            <w:shd w:val="clear" w:color="auto" w:fill="auto"/>
            <w:noWrap/>
            <w:vAlign w:val="center"/>
            <w:hideMark/>
          </w:tcPr>
          <w:p w14:paraId="3C8B5EE7" w14:textId="77777777" w:rsidR="00590671" w:rsidRPr="00590671" w:rsidRDefault="00590671" w:rsidP="00590671">
            <w:pPr>
              <w:spacing w:after="0" w:line="240" w:lineRule="auto"/>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Earnings</w:t>
            </w:r>
          </w:p>
        </w:tc>
        <w:tc>
          <w:tcPr>
            <w:tcW w:w="222" w:type="dxa"/>
            <w:tcBorders>
              <w:top w:val="nil"/>
              <w:left w:val="nil"/>
              <w:bottom w:val="nil"/>
              <w:right w:val="nil"/>
            </w:tcBorders>
            <w:shd w:val="clear" w:color="auto" w:fill="auto"/>
            <w:noWrap/>
            <w:vAlign w:val="bottom"/>
            <w:hideMark/>
          </w:tcPr>
          <w:p w14:paraId="49C4AA45" w14:textId="77777777" w:rsidR="00590671" w:rsidRPr="00590671" w:rsidRDefault="00590671" w:rsidP="00590671">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18C4F78E"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-3.148</w:t>
            </w:r>
          </w:p>
        </w:tc>
        <w:tc>
          <w:tcPr>
            <w:tcW w:w="222" w:type="dxa"/>
            <w:tcBorders>
              <w:top w:val="nil"/>
              <w:left w:val="nil"/>
              <w:bottom w:val="nil"/>
              <w:right w:val="nil"/>
            </w:tcBorders>
            <w:shd w:val="clear" w:color="auto" w:fill="auto"/>
            <w:noWrap/>
            <w:vAlign w:val="bottom"/>
            <w:hideMark/>
          </w:tcPr>
          <w:p w14:paraId="5759B7EF"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27F23241"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-0.678</w:t>
            </w:r>
          </w:p>
        </w:tc>
        <w:tc>
          <w:tcPr>
            <w:tcW w:w="222" w:type="dxa"/>
            <w:tcBorders>
              <w:top w:val="nil"/>
              <w:left w:val="nil"/>
              <w:bottom w:val="nil"/>
              <w:right w:val="nil"/>
            </w:tcBorders>
            <w:shd w:val="clear" w:color="auto" w:fill="auto"/>
            <w:noWrap/>
            <w:vAlign w:val="bottom"/>
            <w:hideMark/>
          </w:tcPr>
          <w:p w14:paraId="117EA6B5"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42CE1EFB"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-2.463</w:t>
            </w:r>
          </w:p>
        </w:tc>
        <w:tc>
          <w:tcPr>
            <w:tcW w:w="222" w:type="dxa"/>
            <w:tcBorders>
              <w:top w:val="nil"/>
              <w:left w:val="nil"/>
              <w:bottom w:val="nil"/>
              <w:right w:val="nil"/>
            </w:tcBorders>
            <w:shd w:val="clear" w:color="auto" w:fill="auto"/>
            <w:noWrap/>
            <w:vAlign w:val="bottom"/>
            <w:hideMark/>
          </w:tcPr>
          <w:p w14:paraId="788769FB"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7DF9CA7A"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-3.309***</w:t>
            </w:r>
          </w:p>
        </w:tc>
      </w:tr>
      <w:tr w:rsidR="00590671" w:rsidRPr="00590671" w14:paraId="15FCB11D" w14:textId="77777777" w:rsidTr="00600BB1">
        <w:trPr>
          <w:trHeight w:val="315"/>
          <w:jc w:val="center"/>
        </w:trPr>
        <w:tc>
          <w:tcPr>
            <w:tcW w:w="1560" w:type="dxa"/>
            <w:tcBorders>
              <w:top w:val="nil"/>
              <w:left w:val="nil"/>
              <w:bottom w:val="nil"/>
              <w:right w:val="nil"/>
            </w:tcBorders>
            <w:shd w:val="clear" w:color="auto" w:fill="auto"/>
            <w:noWrap/>
            <w:vAlign w:val="center"/>
            <w:hideMark/>
          </w:tcPr>
          <w:p w14:paraId="2005CFBE" w14:textId="77777777" w:rsidR="00590671" w:rsidRPr="00590671" w:rsidRDefault="00590671" w:rsidP="00590671">
            <w:pPr>
              <w:spacing w:after="0" w:line="240" w:lineRule="auto"/>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Sales Growth</w:t>
            </w:r>
          </w:p>
        </w:tc>
        <w:tc>
          <w:tcPr>
            <w:tcW w:w="222" w:type="dxa"/>
            <w:tcBorders>
              <w:top w:val="nil"/>
              <w:left w:val="nil"/>
              <w:bottom w:val="nil"/>
              <w:right w:val="nil"/>
            </w:tcBorders>
            <w:shd w:val="clear" w:color="auto" w:fill="auto"/>
            <w:noWrap/>
            <w:vAlign w:val="bottom"/>
            <w:hideMark/>
          </w:tcPr>
          <w:p w14:paraId="19FF7F45" w14:textId="77777777" w:rsidR="00590671" w:rsidRPr="00590671" w:rsidRDefault="00590671" w:rsidP="00590671">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79C24C56"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0.053</w:t>
            </w:r>
          </w:p>
        </w:tc>
        <w:tc>
          <w:tcPr>
            <w:tcW w:w="222" w:type="dxa"/>
            <w:tcBorders>
              <w:top w:val="nil"/>
              <w:left w:val="nil"/>
              <w:bottom w:val="nil"/>
              <w:right w:val="nil"/>
            </w:tcBorders>
            <w:shd w:val="clear" w:color="auto" w:fill="auto"/>
            <w:noWrap/>
            <w:vAlign w:val="bottom"/>
            <w:hideMark/>
          </w:tcPr>
          <w:p w14:paraId="2DF76A04"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07AAEF27"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0.019</w:t>
            </w:r>
          </w:p>
        </w:tc>
        <w:tc>
          <w:tcPr>
            <w:tcW w:w="222" w:type="dxa"/>
            <w:tcBorders>
              <w:top w:val="nil"/>
              <w:left w:val="nil"/>
              <w:bottom w:val="nil"/>
              <w:right w:val="nil"/>
            </w:tcBorders>
            <w:shd w:val="clear" w:color="auto" w:fill="auto"/>
            <w:noWrap/>
            <w:vAlign w:val="bottom"/>
            <w:hideMark/>
          </w:tcPr>
          <w:p w14:paraId="43A55A86"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398E98BA"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0.020</w:t>
            </w:r>
          </w:p>
        </w:tc>
        <w:tc>
          <w:tcPr>
            <w:tcW w:w="222" w:type="dxa"/>
            <w:tcBorders>
              <w:top w:val="nil"/>
              <w:left w:val="nil"/>
              <w:bottom w:val="nil"/>
              <w:right w:val="nil"/>
            </w:tcBorders>
            <w:shd w:val="clear" w:color="auto" w:fill="auto"/>
            <w:noWrap/>
            <w:vAlign w:val="bottom"/>
            <w:hideMark/>
          </w:tcPr>
          <w:p w14:paraId="2E85ED71"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62F2C1AB"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0.016</w:t>
            </w:r>
          </w:p>
        </w:tc>
      </w:tr>
      <w:tr w:rsidR="00590671" w:rsidRPr="00590671" w14:paraId="1831AF49" w14:textId="77777777" w:rsidTr="00600BB1">
        <w:trPr>
          <w:trHeight w:val="315"/>
          <w:jc w:val="center"/>
        </w:trPr>
        <w:tc>
          <w:tcPr>
            <w:tcW w:w="1560" w:type="dxa"/>
            <w:tcBorders>
              <w:top w:val="nil"/>
              <w:left w:val="nil"/>
              <w:bottom w:val="nil"/>
              <w:right w:val="nil"/>
            </w:tcBorders>
            <w:shd w:val="clear" w:color="auto" w:fill="auto"/>
            <w:noWrap/>
            <w:vAlign w:val="center"/>
            <w:hideMark/>
          </w:tcPr>
          <w:p w14:paraId="1A235FE8" w14:textId="77777777" w:rsidR="00590671" w:rsidRPr="00590671" w:rsidRDefault="00590671" w:rsidP="00590671">
            <w:pPr>
              <w:spacing w:after="0" w:line="240" w:lineRule="auto"/>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RD_Gwth</w:t>
            </w:r>
          </w:p>
        </w:tc>
        <w:tc>
          <w:tcPr>
            <w:tcW w:w="222" w:type="dxa"/>
            <w:tcBorders>
              <w:top w:val="nil"/>
              <w:left w:val="nil"/>
              <w:bottom w:val="nil"/>
              <w:right w:val="nil"/>
            </w:tcBorders>
            <w:shd w:val="clear" w:color="auto" w:fill="auto"/>
            <w:noWrap/>
            <w:vAlign w:val="bottom"/>
            <w:hideMark/>
          </w:tcPr>
          <w:p w14:paraId="5A230DDD" w14:textId="77777777" w:rsidR="00590671" w:rsidRPr="00590671" w:rsidRDefault="00590671" w:rsidP="00590671">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0DD7B52C"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0.186</w:t>
            </w:r>
          </w:p>
        </w:tc>
        <w:tc>
          <w:tcPr>
            <w:tcW w:w="222" w:type="dxa"/>
            <w:tcBorders>
              <w:top w:val="nil"/>
              <w:left w:val="nil"/>
              <w:bottom w:val="nil"/>
              <w:right w:val="nil"/>
            </w:tcBorders>
            <w:shd w:val="clear" w:color="auto" w:fill="auto"/>
            <w:noWrap/>
            <w:vAlign w:val="bottom"/>
            <w:hideMark/>
          </w:tcPr>
          <w:p w14:paraId="274E2351"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7BAD9517"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0.0467*</w:t>
            </w:r>
          </w:p>
        </w:tc>
        <w:tc>
          <w:tcPr>
            <w:tcW w:w="222" w:type="dxa"/>
            <w:tcBorders>
              <w:top w:val="nil"/>
              <w:left w:val="nil"/>
              <w:bottom w:val="nil"/>
              <w:right w:val="nil"/>
            </w:tcBorders>
            <w:shd w:val="clear" w:color="auto" w:fill="auto"/>
            <w:noWrap/>
            <w:vAlign w:val="bottom"/>
            <w:hideMark/>
          </w:tcPr>
          <w:p w14:paraId="4D3D9C2D"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4F9D37E6"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-0.160**</w:t>
            </w:r>
          </w:p>
        </w:tc>
        <w:tc>
          <w:tcPr>
            <w:tcW w:w="222" w:type="dxa"/>
            <w:tcBorders>
              <w:top w:val="nil"/>
              <w:left w:val="nil"/>
              <w:bottom w:val="nil"/>
              <w:right w:val="nil"/>
            </w:tcBorders>
            <w:shd w:val="clear" w:color="auto" w:fill="auto"/>
            <w:noWrap/>
            <w:vAlign w:val="bottom"/>
            <w:hideMark/>
          </w:tcPr>
          <w:p w14:paraId="5D764C51"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1E5AB07F"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-0.112***</w:t>
            </w:r>
          </w:p>
        </w:tc>
      </w:tr>
      <w:tr w:rsidR="00590671" w:rsidRPr="00590671" w14:paraId="0FF4BE89" w14:textId="77777777" w:rsidTr="00600BB1">
        <w:trPr>
          <w:trHeight w:val="315"/>
          <w:jc w:val="center"/>
        </w:trPr>
        <w:tc>
          <w:tcPr>
            <w:tcW w:w="1560" w:type="dxa"/>
            <w:tcBorders>
              <w:top w:val="nil"/>
              <w:left w:val="nil"/>
              <w:bottom w:val="nil"/>
              <w:right w:val="nil"/>
            </w:tcBorders>
            <w:shd w:val="clear" w:color="auto" w:fill="auto"/>
            <w:noWrap/>
            <w:vAlign w:val="center"/>
            <w:hideMark/>
          </w:tcPr>
          <w:p w14:paraId="451E515F" w14:textId="77777777" w:rsidR="00590671" w:rsidRPr="00590671" w:rsidRDefault="00590671" w:rsidP="00590671">
            <w:pPr>
              <w:spacing w:after="0" w:line="240" w:lineRule="auto"/>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RD_TA</w:t>
            </w:r>
          </w:p>
        </w:tc>
        <w:tc>
          <w:tcPr>
            <w:tcW w:w="222" w:type="dxa"/>
            <w:tcBorders>
              <w:top w:val="nil"/>
              <w:left w:val="nil"/>
              <w:bottom w:val="nil"/>
              <w:right w:val="nil"/>
            </w:tcBorders>
            <w:shd w:val="clear" w:color="auto" w:fill="auto"/>
            <w:noWrap/>
            <w:vAlign w:val="bottom"/>
            <w:hideMark/>
          </w:tcPr>
          <w:p w14:paraId="372478C9" w14:textId="77777777" w:rsidR="00590671" w:rsidRPr="00590671" w:rsidRDefault="00590671" w:rsidP="00590671">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0D3A979B"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0.008</w:t>
            </w:r>
          </w:p>
        </w:tc>
        <w:tc>
          <w:tcPr>
            <w:tcW w:w="222" w:type="dxa"/>
            <w:tcBorders>
              <w:top w:val="nil"/>
              <w:left w:val="nil"/>
              <w:bottom w:val="nil"/>
              <w:right w:val="nil"/>
            </w:tcBorders>
            <w:shd w:val="clear" w:color="auto" w:fill="auto"/>
            <w:noWrap/>
            <w:vAlign w:val="bottom"/>
            <w:hideMark/>
          </w:tcPr>
          <w:p w14:paraId="1BD6CDF5"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1AA7EFC5"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0.001</w:t>
            </w:r>
          </w:p>
        </w:tc>
        <w:tc>
          <w:tcPr>
            <w:tcW w:w="222" w:type="dxa"/>
            <w:tcBorders>
              <w:top w:val="nil"/>
              <w:left w:val="nil"/>
              <w:bottom w:val="nil"/>
              <w:right w:val="nil"/>
            </w:tcBorders>
            <w:shd w:val="clear" w:color="auto" w:fill="auto"/>
            <w:noWrap/>
            <w:vAlign w:val="bottom"/>
            <w:hideMark/>
          </w:tcPr>
          <w:p w14:paraId="37A62226"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7B78CD83"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-0.013***</w:t>
            </w:r>
          </w:p>
        </w:tc>
        <w:tc>
          <w:tcPr>
            <w:tcW w:w="222" w:type="dxa"/>
            <w:tcBorders>
              <w:top w:val="nil"/>
              <w:left w:val="nil"/>
              <w:bottom w:val="nil"/>
              <w:right w:val="nil"/>
            </w:tcBorders>
            <w:shd w:val="clear" w:color="auto" w:fill="auto"/>
            <w:noWrap/>
            <w:vAlign w:val="bottom"/>
            <w:hideMark/>
          </w:tcPr>
          <w:p w14:paraId="64712641"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63D57BA1"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-0.004***</w:t>
            </w:r>
          </w:p>
        </w:tc>
      </w:tr>
      <w:tr w:rsidR="00590671" w:rsidRPr="00590671" w14:paraId="0F6DCEBC" w14:textId="77777777" w:rsidTr="00600BB1">
        <w:trPr>
          <w:trHeight w:val="315"/>
          <w:jc w:val="center"/>
        </w:trPr>
        <w:tc>
          <w:tcPr>
            <w:tcW w:w="1560" w:type="dxa"/>
            <w:tcBorders>
              <w:top w:val="nil"/>
              <w:left w:val="nil"/>
              <w:bottom w:val="nil"/>
              <w:right w:val="nil"/>
            </w:tcBorders>
            <w:shd w:val="clear" w:color="auto" w:fill="auto"/>
            <w:noWrap/>
            <w:vAlign w:val="center"/>
            <w:hideMark/>
          </w:tcPr>
          <w:p w14:paraId="3B3E4897" w14:textId="77777777" w:rsidR="00590671" w:rsidRPr="00590671" w:rsidRDefault="00590671" w:rsidP="00590671">
            <w:pPr>
              <w:spacing w:after="0" w:line="240" w:lineRule="auto"/>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RD / Sales</w:t>
            </w:r>
          </w:p>
        </w:tc>
        <w:tc>
          <w:tcPr>
            <w:tcW w:w="222" w:type="dxa"/>
            <w:tcBorders>
              <w:top w:val="nil"/>
              <w:left w:val="nil"/>
              <w:bottom w:val="nil"/>
              <w:right w:val="nil"/>
            </w:tcBorders>
            <w:shd w:val="clear" w:color="auto" w:fill="auto"/>
            <w:noWrap/>
            <w:vAlign w:val="bottom"/>
            <w:hideMark/>
          </w:tcPr>
          <w:p w14:paraId="5F7392E2" w14:textId="77777777" w:rsidR="00590671" w:rsidRPr="00590671" w:rsidRDefault="00590671" w:rsidP="00590671">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6FD6D39F"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-0.003</w:t>
            </w:r>
          </w:p>
        </w:tc>
        <w:tc>
          <w:tcPr>
            <w:tcW w:w="222" w:type="dxa"/>
            <w:tcBorders>
              <w:top w:val="nil"/>
              <w:left w:val="nil"/>
              <w:bottom w:val="nil"/>
              <w:right w:val="nil"/>
            </w:tcBorders>
            <w:shd w:val="clear" w:color="auto" w:fill="auto"/>
            <w:noWrap/>
            <w:vAlign w:val="bottom"/>
            <w:hideMark/>
          </w:tcPr>
          <w:p w14:paraId="1F816DB4"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435A5E71"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-0.004</w:t>
            </w:r>
          </w:p>
        </w:tc>
        <w:tc>
          <w:tcPr>
            <w:tcW w:w="222" w:type="dxa"/>
            <w:tcBorders>
              <w:top w:val="nil"/>
              <w:left w:val="nil"/>
              <w:bottom w:val="nil"/>
              <w:right w:val="nil"/>
            </w:tcBorders>
            <w:shd w:val="clear" w:color="auto" w:fill="auto"/>
            <w:noWrap/>
            <w:vAlign w:val="bottom"/>
            <w:hideMark/>
          </w:tcPr>
          <w:p w14:paraId="7CE5FCE6"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1E23FA52"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-0.053***</w:t>
            </w:r>
          </w:p>
        </w:tc>
        <w:tc>
          <w:tcPr>
            <w:tcW w:w="222" w:type="dxa"/>
            <w:tcBorders>
              <w:top w:val="nil"/>
              <w:left w:val="nil"/>
              <w:bottom w:val="nil"/>
              <w:right w:val="nil"/>
            </w:tcBorders>
            <w:shd w:val="clear" w:color="auto" w:fill="auto"/>
            <w:noWrap/>
            <w:vAlign w:val="bottom"/>
            <w:hideMark/>
          </w:tcPr>
          <w:p w14:paraId="6546CB84"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67FA7BD7"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-0.021***</w:t>
            </w:r>
          </w:p>
        </w:tc>
      </w:tr>
      <w:tr w:rsidR="00590671" w:rsidRPr="00590671" w14:paraId="3B9DFB89" w14:textId="77777777" w:rsidTr="00600BB1">
        <w:trPr>
          <w:trHeight w:val="315"/>
          <w:jc w:val="center"/>
        </w:trPr>
        <w:tc>
          <w:tcPr>
            <w:tcW w:w="1560" w:type="dxa"/>
            <w:tcBorders>
              <w:top w:val="nil"/>
              <w:left w:val="nil"/>
              <w:bottom w:val="nil"/>
              <w:right w:val="nil"/>
            </w:tcBorders>
            <w:shd w:val="clear" w:color="auto" w:fill="auto"/>
            <w:noWrap/>
            <w:vAlign w:val="center"/>
            <w:hideMark/>
          </w:tcPr>
          <w:p w14:paraId="02A0BDCB" w14:textId="77777777" w:rsidR="00590671" w:rsidRPr="00590671" w:rsidRDefault="00590671" w:rsidP="00590671">
            <w:pPr>
              <w:spacing w:after="0" w:line="240" w:lineRule="auto"/>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CAP%</w:t>
            </w:r>
          </w:p>
        </w:tc>
        <w:tc>
          <w:tcPr>
            <w:tcW w:w="222" w:type="dxa"/>
            <w:tcBorders>
              <w:top w:val="nil"/>
              <w:left w:val="nil"/>
              <w:bottom w:val="nil"/>
              <w:right w:val="nil"/>
            </w:tcBorders>
            <w:shd w:val="clear" w:color="auto" w:fill="auto"/>
            <w:noWrap/>
            <w:vAlign w:val="bottom"/>
            <w:hideMark/>
          </w:tcPr>
          <w:p w14:paraId="6B9DD0C3" w14:textId="77777777" w:rsidR="00590671" w:rsidRPr="00590671" w:rsidRDefault="00590671" w:rsidP="00590671">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205EB5A4"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0.345***</w:t>
            </w:r>
          </w:p>
        </w:tc>
        <w:tc>
          <w:tcPr>
            <w:tcW w:w="222" w:type="dxa"/>
            <w:tcBorders>
              <w:top w:val="nil"/>
              <w:left w:val="nil"/>
              <w:bottom w:val="nil"/>
              <w:right w:val="nil"/>
            </w:tcBorders>
            <w:shd w:val="clear" w:color="auto" w:fill="auto"/>
            <w:noWrap/>
            <w:vAlign w:val="bottom"/>
            <w:hideMark/>
          </w:tcPr>
          <w:p w14:paraId="6C6B153D"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631ABBFF"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0.413***</w:t>
            </w:r>
          </w:p>
        </w:tc>
        <w:tc>
          <w:tcPr>
            <w:tcW w:w="222" w:type="dxa"/>
            <w:tcBorders>
              <w:top w:val="nil"/>
              <w:left w:val="nil"/>
              <w:bottom w:val="nil"/>
              <w:right w:val="nil"/>
            </w:tcBorders>
            <w:shd w:val="clear" w:color="auto" w:fill="auto"/>
            <w:noWrap/>
            <w:vAlign w:val="bottom"/>
            <w:hideMark/>
          </w:tcPr>
          <w:p w14:paraId="13AB02C7"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2296374E"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0.297***</w:t>
            </w:r>
          </w:p>
        </w:tc>
        <w:tc>
          <w:tcPr>
            <w:tcW w:w="222" w:type="dxa"/>
            <w:tcBorders>
              <w:top w:val="nil"/>
              <w:left w:val="nil"/>
              <w:bottom w:val="nil"/>
              <w:right w:val="nil"/>
            </w:tcBorders>
            <w:shd w:val="clear" w:color="auto" w:fill="auto"/>
            <w:noWrap/>
            <w:vAlign w:val="bottom"/>
            <w:hideMark/>
          </w:tcPr>
          <w:p w14:paraId="77D468D9"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center"/>
            <w:hideMark/>
          </w:tcPr>
          <w:p w14:paraId="2AC751E8" w14:textId="77777777" w:rsidR="00590671" w:rsidRPr="00590671" w:rsidRDefault="00590671" w:rsidP="00590671">
            <w:pPr>
              <w:spacing w:after="0" w:line="240" w:lineRule="auto"/>
              <w:jc w:val="center"/>
              <w:rPr>
                <w:rFonts w:ascii="Times New Roman" w:eastAsia="Times New Roman" w:hAnsi="Times New Roman" w:cs="Times New Roman"/>
                <w:color w:val="000000"/>
                <w:sz w:val="24"/>
                <w:szCs w:val="24"/>
              </w:rPr>
            </w:pPr>
            <w:r w:rsidRPr="00590671">
              <w:rPr>
                <w:rFonts w:ascii="Times New Roman" w:eastAsia="Times New Roman" w:hAnsi="Times New Roman" w:cs="Times New Roman"/>
                <w:color w:val="000000"/>
                <w:sz w:val="24"/>
                <w:szCs w:val="24"/>
              </w:rPr>
              <w:t>0.595***</w:t>
            </w:r>
          </w:p>
        </w:tc>
      </w:tr>
    </w:tbl>
    <w:p w14:paraId="74A85391" w14:textId="77777777" w:rsidR="003808C1" w:rsidRDefault="003808C1" w:rsidP="00985B47">
      <w:pPr>
        <w:pBdr>
          <w:bottom w:val="single" w:sz="12" w:space="1" w:color="auto"/>
        </w:pBdr>
        <w:contextualSpacing/>
      </w:pPr>
    </w:p>
    <w:bookmarkEnd w:id="13"/>
    <w:p w14:paraId="141BCBBC" w14:textId="41E4F499" w:rsidR="003808C1" w:rsidRDefault="003808C1" w:rsidP="00C02101">
      <w:pPr>
        <w:tabs>
          <w:tab w:val="left" w:pos="-426"/>
          <w:tab w:val="left" w:pos="709"/>
          <w:tab w:val="left" w:pos="993"/>
          <w:tab w:val="left" w:pos="1701"/>
          <w:tab w:val="left" w:pos="2835"/>
          <w:tab w:val="left" w:pos="3402"/>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vertAlign w:val="superscript"/>
        </w:rPr>
        <w:t>a</w:t>
      </w:r>
      <w:r>
        <w:rPr>
          <w:rFonts w:ascii="Times New Roman" w:hAnsi="Times New Roman" w:cs="Times New Roman"/>
          <w:sz w:val="24"/>
          <w:szCs w:val="24"/>
        </w:rPr>
        <w:t xml:space="preserve">This table reports descriptive statistics for switchers and capitalizers for </w:t>
      </w:r>
      <w:r w:rsidR="00980FEE">
        <w:rPr>
          <w:rFonts w:ascii="Times New Roman" w:hAnsi="Times New Roman" w:cs="Times New Roman"/>
          <w:sz w:val="24"/>
          <w:szCs w:val="24"/>
        </w:rPr>
        <w:t xml:space="preserve">both </w:t>
      </w:r>
      <w:r>
        <w:rPr>
          <w:rFonts w:ascii="Times New Roman" w:hAnsi="Times New Roman" w:cs="Times New Roman"/>
          <w:sz w:val="24"/>
          <w:szCs w:val="24"/>
        </w:rPr>
        <w:t xml:space="preserve">the UK GAAP </w:t>
      </w:r>
      <w:r w:rsidR="00980FEE">
        <w:rPr>
          <w:rFonts w:ascii="Times New Roman" w:hAnsi="Times New Roman" w:cs="Times New Roman"/>
          <w:sz w:val="24"/>
          <w:szCs w:val="24"/>
        </w:rPr>
        <w:t xml:space="preserve">and IFRS time </w:t>
      </w:r>
      <w:r>
        <w:rPr>
          <w:rFonts w:ascii="Times New Roman" w:hAnsi="Times New Roman" w:cs="Times New Roman"/>
          <w:sz w:val="24"/>
          <w:szCs w:val="24"/>
        </w:rPr>
        <w:t>period</w:t>
      </w:r>
      <w:r w:rsidR="00980FEE">
        <w:rPr>
          <w:rFonts w:ascii="Times New Roman" w:hAnsi="Times New Roman" w:cs="Times New Roman"/>
          <w:sz w:val="24"/>
          <w:szCs w:val="24"/>
        </w:rPr>
        <w:t>s</w:t>
      </w:r>
      <w:r>
        <w:rPr>
          <w:rFonts w:ascii="Times New Roman" w:hAnsi="Times New Roman" w:cs="Times New Roman"/>
          <w:sz w:val="24"/>
          <w:szCs w:val="24"/>
        </w:rPr>
        <w:t xml:space="preserve">. </w:t>
      </w:r>
      <w:r w:rsidR="001832F5">
        <w:rPr>
          <w:rFonts w:ascii="Times New Roman" w:hAnsi="Times New Roman" w:cs="Times New Roman"/>
          <w:sz w:val="24"/>
          <w:szCs w:val="24"/>
        </w:rPr>
        <w:t xml:space="preserve">See table 1 for the definition of switchers and capitalizers. </w:t>
      </w:r>
      <w:r>
        <w:rPr>
          <w:rFonts w:ascii="Times New Roman" w:hAnsi="Times New Roman" w:cs="Times New Roman"/>
          <w:sz w:val="24"/>
          <w:szCs w:val="24"/>
        </w:rPr>
        <w:t xml:space="preserve">Panel C compares the mean and median descriptive statistics between capitalizers and switchers by subtracting the reported value for the </w:t>
      </w:r>
      <w:r w:rsidR="00E82EC4">
        <w:rPr>
          <w:rFonts w:ascii="Times New Roman" w:hAnsi="Times New Roman" w:cs="Times New Roman"/>
          <w:sz w:val="24"/>
          <w:szCs w:val="24"/>
        </w:rPr>
        <w:t>switchers</w:t>
      </w:r>
      <w:r>
        <w:rPr>
          <w:rFonts w:ascii="Times New Roman" w:hAnsi="Times New Roman" w:cs="Times New Roman"/>
          <w:sz w:val="24"/>
          <w:szCs w:val="24"/>
        </w:rPr>
        <w:t xml:space="preserve"> (Panel </w:t>
      </w:r>
      <w:r w:rsidR="00E82EC4">
        <w:rPr>
          <w:rFonts w:ascii="Times New Roman" w:hAnsi="Times New Roman" w:cs="Times New Roman"/>
          <w:sz w:val="24"/>
          <w:szCs w:val="24"/>
        </w:rPr>
        <w:t>B</w:t>
      </w:r>
      <w:r>
        <w:rPr>
          <w:rFonts w:ascii="Times New Roman" w:hAnsi="Times New Roman" w:cs="Times New Roman"/>
          <w:sz w:val="24"/>
          <w:szCs w:val="24"/>
        </w:rPr>
        <w:t xml:space="preserve">) from the reported value for the </w:t>
      </w:r>
      <w:r w:rsidR="00E82EC4">
        <w:rPr>
          <w:rFonts w:ascii="Times New Roman" w:hAnsi="Times New Roman" w:cs="Times New Roman"/>
          <w:sz w:val="24"/>
          <w:szCs w:val="24"/>
        </w:rPr>
        <w:t>capitalizers</w:t>
      </w:r>
      <w:r>
        <w:rPr>
          <w:rFonts w:ascii="Times New Roman" w:hAnsi="Times New Roman" w:cs="Times New Roman"/>
          <w:sz w:val="24"/>
          <w:szCs w:val="24"/>
        </w:rPr>
        <w:t xml:space="preserve"> (Panel </w:t>
      </w:r>
      <w:r w:rsidR="00E82EC4">
        <w:rPr>
          <w:rFonts w:ascii="Times New Roman" w:hAnsi="Times New Roman" w:cs="Times New Roman"/>
          <w:sz w:val="24"/>
          <w:szCs w:val="24"/>
        </w:rPr>
        <w:t>A</w:t>
      </w:r>
      <w:r>
        <w:rPr>
          <w:rFonts w:ascii="Times New Roman" w:hAnsi="Times New Roman" w:cs="Times New Roman"/>
          <w:sz w:val="24"/>
          <w:szCs w:val="24"/>
        </w:rPr>
        <w:t xml:space="preserve">). The </w:t>
      </w:r>
      <w:r w:rsidR="00980FEE">
        <w:rPr>
          <w:rFonts w:ascii="Times New Roman" w:hAnsi="Times New Roman" w:cs="Times New Roman"/>
          <w:sz w:val="24"/>
          <w:szCs w:val="24"/>
        </w:rPr>
        <w:t xml:space="preserve">second and fourth </w:t>
      </w:r>
      <w:r>
        <w:rPr>
          <w:rFonts w:ascii="Times New Roman" w:hAnsi="Times New Roman" w:cs="Times New Roman"/>
          <w:sz w:val="24"/>
          <w:szCs w:val="24"/>
        </w:rPr>
        <w:t>(</w:t>
      </w:r>
      <w:r w:rsidR="00980FEE">
        <w:rPr>
          <w:rFonts w:ascii="Times New Roman" w:hAnsi="Times New Roman" w:cs="Times New Roman"/>
          <w:sz w:val="24"/>
          <w:szCs w:val="24"/>
        </w:rPr>
        <w:t xml:space="preserve">third and </w:t>
      </w:r>
      <w:r>
        <w:rPr>
          <w:rFonts w:ascii="Times New Roman" w:hAnsi="Times New Roman" w:cs="Times New Roman"/>
          <w:sz w:val="24"/>
          <w:szCs w:val="24"/>
        </w:rPr>
        <w:t>fifth) column</w:t>
      </w:r>
      <w:r w:rsidR="00980FEE">
        <w:rPr>
          <w:rFonts w:ascii="Times New Roman" w:hAnsi="Times New Roman" w:cs="Times New Roman"/>
          <w:sz w:val="24"/>
          <w:szCs w:val="24"/>
        </w:rPr>
        <w:t>s</w:t>
      </w:r>
      <w:r>
        <w:rPr>
          <w:rFonts w:ascii="Times New Roman" w:hAnsi="Times New Roman" w:cs="Times New Roman"/>
          <w:sz w:val="24"/>
          <w:szCs w:val="24"/>
        </w:rPr>
        <w:t xml:space="preserve"> in Panel C reports the significance levels for t-tests (Wilcoxon tests) comparing the pooled sample mean (median) for the difference between groups.  </w:t>
      </w:r>
    </w:p>
    <w:p w14:paraId="04807B09" w14:textId="77777777" w:rsidR="001832F5" w:rsidRDefault="001832F5" w:rsidP="00C02101">
      <w:pPr>
        <w:tabs>
          <w:tab w:val="left" w:pos="-426"/>
          <w:tab w:val="left" w:pos="709"/>
          <w:tab w:val="left" w:pos="993"/>
          <w:tab w:val="left" w:pos="1701"/>
          <w:tab w:val="left" w:pos="2835"/>
          <w:tab w:val="left" w:pos="3402"/>
        </w:tabs>
        <w:spacing w:line="240" w:lineRule="auto"/>
        <w:contextualSpacing/>
        <w:jc w:val="both"/>
        <w:rPr>
          <w:rFonts w:ascii="Times New Roman" w:hAnsi="Times New Roman" w:cs="Times New Roman"/>
          <w:sz w:val="24"/>
          <w:szCs w:val="24"/>
        </w:rPr>
      </w:pPr>
    </w:p>
    <w:p w14:paraId="2BAA1528" w14:textId="6D674991" w:rsidR="007B6F09" w:rsidRDefault="003808C1" w:rsidP="00C02101">
      <w:pPr>
        <w:tabs>
          <w:tab w:val="left" w:pos="-426"/>
          <w:tab w:val="left" w:pos="709"/>
          <w:tab w:val="left" w:pos="993"/>
          <w:tab w:val="left" w:pos="1701"/>
          <w:tab w:val="left" w:pos="2835"/>
          <w:tab w:val="left" w:pos="340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Share Price is the natural logarithm of the firm’s share price; MVE is the natural logarithm </w:t>
      </w:r>
      <w:r w:rsidR="006954A2">
        <w:rPr>
          <w:rFonts w:ascii="Times New Roman" w:hAnsi="Times New Roman" w:cs="Times New Roman"/>
          <w:sz w:val="24"/>
          <w:szCs w:val="24"/>
        </w:rPr>
        <w:t xml:space="preserve">of the firm’s </w:t>
      </w:r>
      <w:r>
        <w:rPr>
          <w:rFonts w:ascii="Times New Roman" w:hAnsi="Times New Roman" w:cs="Times New Roman"/>
          <w:sz w:val="24"/>
          <w:szCs w:val="24"/>
        </w:rPr>
        <w:t xml:space="preserve">market value of equity; Sales is the natural logarithm of the firm’s sales; Assets is the natural logarithm of the firm’s total assets; Earnings is net income (loss) in millions of pounds sterling; Sales Growth is the change in sales divided by lagged sales; </w:t>
      </w:r>
      <w:r w:rsidR="007B0B31">
        <w:rPr>
          <w:rFonts w:ascii="Times New Roman" w:hAnsi="Times New Roman" w:cs="Times New Roman"/>
          <w:sz w:val="24"/>
          <w:szCs w:val="24"/>
        </w:rPr>
        <w:t>RD_</w:t>
      </w:r>
      <w:r>
        <w:rPr>
          <w:rFonts w:ascii="Times New Roman" w:hAnsi="Times New Roman" w:cs="Times New Roman"/>
          <w:sz w:val="24"/>
          <w:szCs w:val="24"/>
        </w:rPr>
        <w:t>Gwth is the change in R&amp;D expenditures divided by lagged R&amp;D expenditures</w:t>
      </w:r>
      <w:r w:rsidR="007B0B31">
        <w:rPr>
          <w:rFonts w:ascii="Times New Roman" w:hAnsi="Times New Roman" w:cs="Times New Roman"/>
          <w:sz w:val="24"/>
          <w:szCs w:val="24"/>
        </w:rPr>
        <w:t>; RD_TA is the change in R&amp;D expenditures divided by lagged total assets; R&amp;D / Sales  is R&amp;D expenditure divided by sales</w:t>
      </w:r>
      <w:r>
        <w:rPr>
          <w:rFonts w:ascii="Times New Roman" w:hAnsi="Times New Roman" w:cs="Times New Roman"/>
          <w:sz w:val="24"/>
          <w:szCs w:val="24"/>
        </w:rPr>
        <w:t xml:space="preserve">. </w:t>
      </w:r>
      <w:r w:rsidR="007B6F09">
        <w:rPr>
          <w:rFonts w:ascii="Times New Roman" w:hAnsi="Times New Roman" w:cs="Times New Roman"/>
          <w:sz w:val="24"/>
          <w:szCs w:val="24"/>
        </w:rPr>
        <w:t>CAP% is the ratio of capitalized to total development expenditures.</w:t>
      </w:r>
      <w:r w:rsidR="000D7E16">
        <w:rPr>
          <w:rFonts w:ascii="Times New Roman" w:hAnsi="Times New Roman" w:cs="Times New Roman"/>
          <w:sz w:val="24"/>
          <w:szCs w:val="24"/>
        </w:rPr>
        <w:t xml:space="preserve"> For </w:t>
      </w:r>
      <w:r w:rsidR="00F73B44">
        <w:rPr>
          <w:rFonts w:ascii="Times New Roman" w:hAnsi="Times New Roman" w:cs="Times New Roman"/>
          <w:sz w:val="24"/>
          <w:szCs w:val="24"/>
        </w:rPr>
        <w:t>switchers</w:t>
      </w:r>
      <w:r w:rsidR="000D7E16">
        <w:rPr>
          <w:rFonts w:ascii="Times New Roman" w:hAnsi="Times New Roman" w:cs="Times New Roman"/>
          <w:sz w:val="24"/>
          <w:szCs w:val="24"/>
        </w:rPr>
        <w:t xml:space="preserve"> (who did not disclose this ratio under UK GAAP), we used the pro-forma capitalization data that they were required to disclose upon the switch to IFRS</w:t>
      </w:r>
      <w:r w:rsidR="00DD6139">
        <w:rPr>
          <w:rFonts w:ascii="Times New Roman" w:hAnsi="Times New Roman" w:cs="Times New Roman"/>
          <w:sz w:val="24"/>
          <w:szCs w:val="24"/>
        </w:rPr>
        <w:t>; therefore CAP% is only calculated for one year.</w:t>
      </w:r>
    </w:p>
    <w:p w14:paraId="0963B1F5" w14:textId="5C313DF7" w:rsidR="003808C1" w:rsidRDefault="003808C1" w:rsidP="00C02101">
      <w:pPr>
        <w:tabs>
          <w:tab w:val="left" w:pos="-426"/>
          <w:tab w:val="left" w:pos="709"/>
          <w:tab w:val="left" w:pos="993"/>
          <w:tab w:val="left" w:pos="1701"/>
          <w:tab w:val="left" w:pos="2835"/>
          <w:tab w:val="left" w:pos="3402"/>
        </w:tabs>
        <w:spacing w:line="240" w:lineRule="auto"/>
        <w:jc w:val="both"/>
        <w:rPr>
          <w:rFonts w:ascii="Times New Roman" w:hAnsi="Times New Roman" w:cs="Times New Roman"/>
          <w:sz w:val="24"/>
          <w:szCs w:val="24"/>
        </w:rPr>
      </w:pPr>
      <w:r>
        <w:rPr>
          <w:rFonts w:ascii="Times New Roman" w:hAnsi="Times New Roman" w:cs="Times New Roman"/>
          <w:sz w:val="24"/>
          <w:szCs w:val="24"/>
        </w:rPr>
        <w:t>All variables</w:t>
      </w:r>
      <w:r w:rsidR="004B1DFF">
        <w:rPr>
          <w:rFonts w:ascii="Times New Roman" w:hAnsi="Times New Roman" w:cs="Times New Roman"/>
          <w:sz w:val="24"/>
          <w:szCs w:val="24"/>
        </w:rPr>
        <w:t xml:space="preserve">, </w:t>
      </w:r>
      <w:r>
        <w:rPr>
          <w:rFonts w:ascii="Times New Roman" w:hAnsi="Times New Roman" w:cs="Times New Roman"/>
          <w:sz w:val="24"/>
          <w:szCs w:val="24"/>
        </w:rPr>
        <w:t>unless otherwise noted</w:t>
      </w:r>
      <w:r w:rsidR="004B1DFF">
        <w:rPr>
          <w:rFonts w:ascii="Times New Roman" w:hAnsi="Times New Roman" w:cs="Times New Roman"/>
          <w:sz w:val="24"/>
          <w:szCs w:val="24"/>
        </w:rPr>
        <w:t>,</w:t>
      </w:r>
      <w:r>
        <w:rPr>
          <w:rFonts w:ascii="Times New Roman" w:hAnsi="Times New Roman" w:cs="Times New Roman"/>
          <w:sz w:val="24"/>
          <w:szCs w:val="24"/>
        </w:rPr>
        <w:t xml:space="preserve"> are measured at fiscal-year end.</w:t>
      </w:r>
    </w:p>
    <w:p w14:paraId="2C26DE29" w14:textId="77777777" w:rsidR="0077761F" w:rsidRDefault="0077761F" w:rsidP="0077761F">
      <w:pPr>
        <w:spacing w:before="100" w:beforeAutospacing="1"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 and *** indicate significance at the 0.10, 0.05 and 0.01 levels, respectively.</w:t>
      </w:r>
    </w:p>
    <w:p w14:paraId="50AEC27E" w14:textId="77777777" w:rsidR="003808C1" w:rsidRDefault="003808C1" w:rsidP="00985B47">
      <w:pPr>
        <w:rPr>
          <w:rFonts w:ascii="Times New Roman" w:hAnsi="Times New Roman" w:cs="Times New Roman"/>
          <w:sz w:val="24"/>
          <w:szCs w:val="24"/>
        </w:rPr>
      </w:pPr>
      <w:r>
        <w:rPr>
          <w:rFonts w:ascii="Times New Roman" w:hAnsi="Times New Roman" w:cs="Times New Roman"/>
          <w:sz w:val="24"/>
          <w:szCs w:val="24"/>
        </w:rPr>
        <w:br w:type="page"/>
      </w:r>
    </w:p>
    <w:bookmarkEnd w:id="11"/>
    <w:p w14:paraId="5B684858" w14:textId="77777777" w:rsidR="003808C1" w:rsidRDefault="003808C1" w:rsidP="0043227B">
      <w:pPr>
        <w:contextualSpacing/>
        <w:jc w:val="center"/>
        <w:rPr>
          <w:rFonts w:ascii="Times New Roman" w:hAnsi="Times New Roman" w:cs="Times New Roman"/>
          <w:b/>
          <w:sz w:val="24"/>
          <w:szCs w:val="24"/>
        </w:rPr>
      </w:pPr>
      <w:r>
        <w:rPr>
          <w:rFonts w:ascii="Times New Roman" w:hAnsi="Times New Roman" w:cs="Times New Roman"/>
          <w:b/>
          <w:sz w:val="24"/>
          <w:szCs w:val="24"/>
        </w:rPr>
        <w:t>Table 4</w:t>
      </w:r>
    </w:p>
    <w:p w14:paraId="4AAC3960" w14:textId="77777777" w:rsidR="003808C1" w:rsidRDefault="003808C1" w:rsidP="0043227B">
      <w:pPr>
        <w:pBdr>
          <w:bottom w:val="single" w:sz="12" w:space="1" w:color="auto"/>
        </w:pBdr>
        <w:contextualSpacing/>
        <w:jc w:val="center"/>
        <w:rPr>
          <w:rFonts w:ascii="Times New Roman" w:hAnsi="Times New Roman" w:cs="Times New Roman"/>
          <w:b/>
          <w:sz w:val="24"/>
          <w:szCs w:val="24"/>
        </w:rPr>
      </w:pPr>
      <w:r>
        <w:rPr>
          <w:rFonts w:ascii="Times New Roman" w:hAnsi="Times New Roman" w:cs="Times New Roman"/>
          <w:b/>
          <w:sz w:val="24"/>
          <w:szCs w:val="24"/>
        </w:rPr>
        <w:t>Determinants of the Decision to Capitalize Development Expenditures</w:t>
      </w:r>
      <w:r>
        <w:rPr>
          <w:rFonts w:ascii="Times New Roman" w:hAnsi="Times New Roman" w:cs="Times New Roman"/>
          <w:b/>
          <w:sz w:val="24"/>
          <w:szCs w:val="24"/>
          <w:vertAlign w:val="superscript"/>
        </w:rPr>
        <w:t>a</w:t>
      </w:r>
    </w:p>
    <w:p w14:paraId="4C21F6CF" w14:textId="2529E980" w:rsidR="003808C1" w:rsidRDefault="003808C1" w:rsidP="0043227B">
      <w:pPr>
        <w:contextualSpacing/>
        <w:jc w:val="center"/>
        <w:rPr>
          <w:rFonts w:ascii="Times New Roman" w:hAnsi="Times New Roman" w:cs="Times New Roman"/>
          <w:b/>
          <w:sz w:val="24"/>
          <w:szCs w:val="24"/>
        </w:rPr>
      </w:pPr>
    </w:p>
    <w:tbl>
      <w:tblPr>
        <w:tblW w:w="5900" w:type="dxa"/>
        <w:jc w:val="center"/>
        <w:tblLook w:val="04A0" w:firstRow="1" w:lastRow="0" w:firstColumn="1" w:lastColumn="0" w:noHBand="0" w:noVBand="1"/>
      </w:tblPr>
      <w:tblGrid>
        <w:gridCol w:w="1902"/>
        <w:gridCol w:w="322"/>
        <w:gridCol w:w="2016"/>
        <w:gridCol w:w="1660"/>
      </w:tblGrid>
      <w:tr w:rsidR="00DE3E06" w:rsidRPr="0079179D" w14:paraId="4365EBA9" w14:textId="77777777" w:rsidTr="006E17B8">
        <w:trPr>
          <w:trHeight w:val="315"/>
          <w:jc w:val="center"/>
        </w:trPr>
        <w:tc>
          <w:tcPr>
            <w:tcW w:w="1902" w:type="dxa"/>
            <w:tcBorders>
              <w:top w:val="single" w:sz="4" w:space="0" w:color="auto"/>
              <w:left w:val="nil"/>
              <w:bottom w:val="single" w:sz="4" w:space="0" w:color="auto"/>
              <w:right w:val="nil"/>
            </w:tcBorders>
            <w:vAlign w:val="center"/>
            <w:hideMark/>
          </w:tcPr>
          <w:p w14:paraId="02F1AFF7" w14:textId="77777777" w:rsidR="00DE3E06" w:rsidRPr="0079179D" w:rsidRDefault="00DE3E06" w:rsidP="006E17B8">
            <w:pPr>
              <w:spacing w:after="0" w:line="240" w:lineRule="auto"/>
              <w:rPr>
                <w:rFonts w:ascii="Times New Roman" w:hAnsi="Times New Roman"/>
                <w:color w:val="000000"/>
                <w:sz w:val="24"/>
                <w:szCs w:val="24"/>
              </w:rPr>
            </w:pPr>
            <w:r w:rsidRPr="0079179D">
              <w:rPr>
                <w:rFonts w:ascii="Times New Roman" w:hAnsi="Times New Roman"/>
                <w:color w:val="000000"/>
                <w:sz w:val="24"/>
                <w:szCs w:val="24"/>
              </w:rPr>
              <w:t> </w:t>
            </w:r>
          </w:p>
        </w:tc>
        <w:tc>
          <w:tcPr>
            <w:tcW w:w="322" w:type="dxa"/>
            <w:tcBorders>
              <w:top w:val="single" w:sz="4" w:space="0" w:color="auto"/>
              <w:left w:val="nil"/>
              <w:bottom w:val="single" w:sz="4" w:space="0" w:color="auto"/>
              <w:right w:val="nil"/>
            </w:tcBorders>
            <w:vAlign w:val="center"/>
            <w:hideMark/>
          </w:tcPr>
          <w:p w14:paraId="0CF84783" w14:textId="77777777" w:rsidR="00DE3E06" w:rsidRPr="0079179D" w:rsidRDefault="00DE3E06" w:rsidP="006E17B8">
            <w:pPr>
              <w:spacing w:after="0" w:line="240" w:lineRule="auto"/>
              <w:rPr>
                <w:rFonts w:ascii="Times New Roman" w:hAnsi="Times New Roman"/>
                <w:color w:val="000000"/>
                <w:sz w:val="24"/>
                <w:szCs w:val="24"/>
              </w:rPr>
            </w:pPr>
            <w:r w:rsidRPr="0079179D">
              <w:rPr>
                <w:rFonts w:ascii="Times New Roman" w:hAnsi="Times New Roman"/>
                <w:color w:val="000000"/>
                <w:sz w:val="24"/>
                <w:szCs w:val="24"/>
              </w:rPr>
              <w:t> </w:t>
            </w:r>
          </w:p>
        </w:tc>
        <w:tc>
          <w:tcPr>
            <w:tcW w:w="2016" w:type="dxa"/>
            <w:tcBorders>
              <w:top w:val="single" w:sz="4" w:space="0" w:color="auto"/>
              <w:left w:val="nil"/>
              <w:bottom w:val="single" w:sz="4" w:space="0" w:color="auto"/>
              <w:right w:val="nil"/>
            </w:tcBorders>
            <w:vAlign w:val="center"/>
            <w:hideMark/>
          </w:tcPr>
          <w:p w14:paraId="2BDC2996" w14:textId="77777777" w:rsidR="00DE3E06" w:rsidRPr="0079179D" w:rsidRDefault="00DE3E06" w:rsidP="006E17B8">
            <w:pPr>
              <w:spacing w:after="0" w:line="240" w:lineRule="auto"/>
              <w:jc w:val="center"/>
              <w:rPr>
                <w:rFonts w:ascii="Times New Roman" w:hAnsi="Times New Roman"/>
                <w:color w:val="000000"/>
                <w:sz w:val="24"/>
                <w:szCs w:val="24"/>
              </w:rPr>
            </w:pPr>
            <w:r w:rsidRPr="0079179D">
              <w:rPr>
                <w:rFonts w:ascii="Times New Roman" w:hAnsi="Times New Roman"/>
                <w:color w:val="000000"/>
                <w:sz w:val="24"/>
                <w:szCs w:val="24"/>
              </w:rPr>
              <w:t>Coefficient</w:t>
            </w:r>
          </w:p>
        </w:tc>
        <w:tc>
          <w:tcPr>
            <w:tcW w:w="1660" w:type="dxa"/>
            <w:tcBorders>
              <w:top w:val="single" w:sz="4" w:space="0" w:color="auto"/>
              <w:left w:val="nil"/>
              <w:bottom w:val="single" w:sz="4" w:space="0" w:color="auto"/>
              <w:right w:val="nil"/>
            </w:tcBorders>
            <w:noWrap/>
            <w:vAlign w:val="bottom"/>
            <w:hideMark/>
          </w:tcPr>
          <w:p w14:paraId="3834246B" w14:textId="77777777" w:rsidR="00DE3E06" w:rsidRPr="0079179D" w:rsidRDefault="00DE3E06" w:rsidP="006E17B8">
            <w:pPr>
              <w:spacing w:after="0" w:line="240" w:lineRule="auto"/>
              <w:jc w:val="center"/>
              <w:rPr>
                <w:rFonts w:ascii="Times New Roman" w:hAnsi="Times New Roman"/>
                <w:color w:val="000000"/>
                <w:sz w:val="24"/>
                <w:szCs w:val="24"/>
              </w:rPr>
            </w:pPr>
            <w:r w:rsidRPr="0079179D">
              <w:rPr>
                <w:rFonts w:ascii="Times New Roman" w:hAnsi="Times New Roman"/>
                <w:color w:val="000000"/>
                <w:sz w:val="24"/>
                <w:szCs w:val="24"/>
              </w:rPr>
              <w:t>t-statistic</w:t>
            </w:r>
          </w:p>
        </w:tc>
      </w:tr>
      <w:tr w:rsidR="00DE3E06" w:rsidRPr="0079179D" w14:paraId="4F670B1D" w14:textId="77777777" w:rsidTr="006E17B8">
        <w:trPr>
          <w:trHeight w:val="315"/>
          <w:jc w:val="center"/>
        </w:trPr>
        <w:tc>
          <w:tcPr>
            <w:tcW w:w="1902" w:type="dxa"/>
            <w:tcBorders>
              <w:top w:val="nil"/>
              <w:left w:val="nil"/>
              <w:bottom w:val="nil"/>
              <w:right w:val="nil"/>
            </w:tcBorders>
            <w:vAlign w:val="center"/>
            <w:hideMark/>
          </w:tcPr>
          <w:p w14:paraId="380E78D4" w14:textId="77777777" w:rsidR="00DE3E06" w:rsidRPr="0079179D" w:rsidRDefault="00DE3E06" w:rsidP="006E17B8">
            <w:pPr>
              <w:spacing w:after="0" w:line="240" w:lineRule="auto"/>
              <w:jc w:val="center"/>
              <w:rPr>
                <w:rFonts w:ascii="Times New Roman" w:hAnsi="Times New Roman"/>
                <w:color w:val="000000"/>
                <w:sz w:val="24"/>
                <w:szCs w:val="24"/>
              </w:rPr>
            </w:pPr>
          </w:p>
        </w:tc>
        <w:tc>
          <w:tcPr>
            <w:tcW w:w="322" w:type="dxa"/>
            <w:tcBorders>
              <w:top w:val="nil"/>
              <w:left w:val="nil"/>
              <w:bottom w:val="nil"/>
              <w:right w:val="nil"/>
            </w:tcBorders>
            <w:vAlign w:val="center"/>
            <w:hideMark/>
          </w:tcPr>
          <w:p w14:paraId="1E3E2CF7" w14:textId="77777777" w:rsidR="00DE3E06" w:rsidRPr="0079179D" w:rsidRDefault="00DE3E06" w:rsidP="006E17B8">
            <w:pPr>
              <w:spacing w:after="0" w:line="240" w:lineRule="auto"/>
              <w:rPr>
                <w:rFonts w:ascii="Times New Roman" w:hAnsi="Times New Roman"/>
                <w:sz w:val="20"/>
                <w:szCs w:val="20"/>
              </w:rPr>
            </w:pPr>
          </w:p>
        </w:tc>
        <w:tc>
          <w:tcPr>
            <w:tcW w:w="2016" w:type="dxa"/>
            <w:tcBorders>
              <w:top w:val="nil"/>
              <w:left w:val="nil"/>
              <w:bottom w:val="nil"/>
              <w:right w:val="nil"/>
            </w:tcBorders>
            <w:vAlign w:val="center"/>
            <w:hideMark/>
          </w:tcPr>
          <w:p w14:paraId="524FD24D" w14:textId="77777777" w:rsidR="00DE3E06" w:rsidRPr="0079179D" w:rsidRDefault="00DE3E06" w:rsidP="006E17B8">
            <w:pPr>
              <w:spacing w:after="0" w:line="240" w:lineRule="auto"/>
              <w:rPr>
                <w:rFonts w:ascii="Times New Roman" w:hAnsi="Times New Roman"/>
                <w:sz w:val="20"/>
                <w:szCs w:val="20"/>
              </w:rPr>
            </w:pPr>
          </w:p>
        </w:tc>
        <w:tc>
          <w:tcPr>
            <w:tcW w:w="1660" w:type="dxa"/>
            <w:tcBorders>
              <w:top w:val="nil"/>
              <w:left w:val="nil"/>
              <w:bottom w:val="nil"/>
              <w:right w:val="nil"/>
            </w:tcBorders>
            <w:noWrap/>
            <w:vAlign w:val="bottom"/>
            <w:hideMark/>
          </w:tcPr>
          <w:p w14:paraId="5B43B441" w14:textId="77777777" w:rsidR="00DE3E06" w:rsidRPr="0079179D" w:rsidRDefault="00DE3E06" w:rsidP="006E17B8">
            <w:pPr>
              <w:spacing w:after="0" w:line="240" w:lineRule="auto"/>
              <w:rPr>
                <w:rFonts w:ascii="Times New Roman" w:hAnsi="Times New Roman"/>
                <w:sz w:val="20"/>
                <w:szCs w:val="20"/>
              </w:rPr>
            </w:pPr>
          </w:p>
        </w:tc>
      </w:tr>
      <w:tr w:rsidR="00DE3E06" w:rsidRPr="0079179D" w14:paraId="78B08ED7" w14:textId="77777777" w:rsidTr="006E17B8">
        <w:trPr>
          <w:trHeight w:val="315"/>
          <w:jc w:val="center"/>
        </w:trPr>
        <w:tc>
          <w:tcPr>
            <w:tcW w:w="1902" w:type="dxa"/>
            <w:tcBorders>
              <w:top w:val="nil"/>
              <w:left w:val="nil"/>
              <w:bottom w:val="nil"/>
              <w:right w:val="nil"/>
            </w:tcBorders>
            <w:vAlign w:val="center"/>
            <w:hideMark/>
          </w:tcPr>
          <w:p w14:paraId="3F2227C9" w14:textId="77777777" w:rsidR="00DE3E06" w:rsidRPr="0079179D" w:rsidRDefault="00DE3E06" w:rsidP="006E17B8">
            <w:pPr>
              <w:spacing w:after="0" w:line="240" w:lineRule="auto"/>
              <w:rPr>
                <w:rFonts w:ascii="Times New Roman" w:hAnsi="Times New Roman"/>
                <w:color w:val="000000"/>
                <w:sz w:val="24"/>
                <w:szCs w:val="24"/>
              </w:rPr>
            </w:pPr>
            <w:r w:rsidRPr="0079179D">
              <w:rPr>
                <w:rFonts w:ascii="Times New Roman" w:hAnsi="Times New Roman"/>
                <w:color w:val="000000"/>
                <w:sz w:val="24"/>
                <w:szCs w:val="24"/>
              </w:rPr>
              <w:t>EARN_VAR</w:t>
            </w:r>
          </w:p>
        </w:tc>
        <w:tc>
          <w:tcPr>
            <w:tcW w:w="322" w:type="dxa"/>
            <w:tcBorders>
              <w:top w:val="nil"/>
              <w:left w:val="nil"/>
              <w:bottom w:val="nil"/>
              <w:right w:val="nil"/>
            </w:tcBorders>
            <w:vAlign w:val="center"/>
            <w:hideMark/>
          </w:tcPr>
          <w:p w14:paraId="1C5D121A" w14:textId="77777777" w:rsidR="00DE3E06" w:rsidRPr="0079179D" w:rsidRDefault="00DE3E06" w:rsidP="006E17B8">
            <w:pPr>
              <w:spacing w:after="0" w:line="240" w:lineRule="auto"/>
              <w:rPr>
                <w:rFonts w:ascii="Times New Roman" w:hAnsi="Times New Roman"/>
                <w:color w:val="000000"/>
                <w:sz w:val="24"/>
                <w:szCs w:val="24"/>
              </w:rPr>
            </w:pPr>
          </w:p>
        </w:tc>
        <w:tc>
          <w:tcPr>
            <w:tcW w:w="2016" w:type="dxa"/>
            <w:tcBorders>
              <w:top w:val="nil"/>
              <w:left w:val="nil"/>
              <w:bottom w:val="nil"/>
              <w:right w:val="nil"/>
            </w:tcBorders>
            <w:vAlign w:val="center"/>
            <w:hideMark/>
          </w:tcPr>
          <w:p w14:paraId="398C3F3F" w14:textId="77777777" w:rsidR="00DE3E06" w:rsidRPr="0079179D" w:rsidRDefault="00DE3E06" w:rsidP="006E17B8">
            <w:pPr>
              <w:spacing w:after="0" w:line="240" w:lineRule="auto"/>
              <w:jc w:val="center"/>
              <w:rPr>
                <w:rFonts w:ascii="Times New Roman" w:hAnsi="Times New Roman"/>
                <w:color w:val="000000"/>
                <w:sz w:val="24"/>
                <w:szCs w:val="24"/>
              </w:rPr>
            </w:pPr>
            <w:r>
              <w:rPr>
                <w:rFonts w:ascii="Times New Roman" w:hAnsi="Times New Roman" w:cs="Times New Roman"/>
                <w:sz w:val="24"/>
                <w:szCs w:val="24"/>
              </w:rPr>
              <w:t>0.001</w:t>
            </w:r>
          </w:p>
        </w:tc>
        <w:tc>
          <w:tcPr>
            <w:tcW w:w="1660" w:type="dxa"/>
            <w:tcBorders>
              <w:top w:val="nil"/>
              <w:left w:val="nil"/>
              <w:bottom w:val="nil"/>
              <w:right w:val="nil"/>
            </w:tcBorders>
            <w:vAlign w:val="center"/>
            <w:hideMark/>
          </w:tcPr>
          <w:p w14:paraId="54631885" w14:textId="77777777" w:rsidR="00DE3E06" w:rsidRPr="0079179D" w:rsidRDefault="00DE3E06" w:rsidP="006E17B8">
            <w:pPr>
              <w:spacing w:after="0" w:line="240" w:lineRule="auto"/>
              <w:jc w:val="center"/>
              <w:rPr>
                <w:rFonts w:ascii="Times New Roman" w:hAnsi="Times New Roman"/>
                <w:color w:val="000000"/>
                <w:sz w:val="24"/>
                <w:szCs w:val="24"/>
              </w:rPr>
            </w:pPr>
            <w:r>
              <w:rPr>
                <w:rFonts w:ascii="Times New Roman" w:hAnsi="Times New Roman" w:cs="Times New Roman"/>
                <w:sz w:val="24"/>
                <w:szCs w:val="24"/>
              </w:rPr>
              <w:t>(0.26)</w:t>
            </w:r>
          </w:p>
        </w:tc>
      </w:tr>
      <w:tr w:rsidR="00DE3E06" w:rsidRPr="0079179D" w14:paraId="6EF3D41A" w14:textId="77777777" w:rsidTr="006E17B8">
        <w:trPr>
          <w:trHeight w:val="315"/>
          <w:jc w:val="center"/>
        </w:trPr>
        <w:tc>
          <w:tcPr>
            <w:tcW w:w="1902" w:type="dxa"/>
            <w:tcBorders>
              <w:top w:val="nil"/>
              <w:left w:val="nil"/>
              <w:bottom w:val="nil"/>
              <w:right w:val="nil"/>
            </w:tcBorders>
            <w:vAlign w:val="center"/>
            <w:hideMark/>
          </w:tcPr>
          <w:p w14:paraId="2864B6DB" w14:textId="77777777" w:rsidR="00DE3E06" w:rsidRPr="0079179D" w:rsidRDefault="00DE3E06" w:rsidP="006E17B8">
            <w:pPr>
              <w:spacing w:after="0" w:line="240" w:lineRule="auto"/>
              <w:jc w:val="center"/>
              <w:rPr>
                <w:rFonts w:ascii="Times New Roman" w:hAnsi="Times New Roman"/>
                <w:color w:val="000000"/>
                <w:sz w:val="24"/>
                <w:szCs w:val="24"/>
              </w:rPr>
            </w:pPr>
          </w:p>
        </w:tc>
        <w:tc>
          <w:tcPr>
            <w:tcW w:w="322" w:type="dxa"/>
            <w:tcBorders>
              <w:top w:val="nil"/>
              <w:left w:val="nil"/>
              <w:bottom w:val="nil"/>
              <w:right w:val="nil"/>
            </w:tcBorders>
            <w:vAlign w:val="center"/>
            <w:hideMark/>
          </w:tcPr>
          <w:p w14:paraId="3AC7C700" w14:textId="77777777" w:rsidR="00DE3E06" w:rsidRPr="0079179D" w:rsidRDefault="00DE3E06" w:rsidP="006E17B8">
            <w:pPr>
              <w:spacing w:after="0" w:line="240" w:lineRule="auto"/>
              <w:rPr>
                <w:rFonts w:ascii="Times New Roman" w:hAnsi="Times New Roman"/>
                <w:sz w:val="20"/>
                <w:szCs w:val="20"/>
              </w:rPr>
            </w:pPr>
          </w:p>
        </w:tc>
        <w:tc>
          <w:tcPr>
            <w:tcW w:w="2016" w:type="dxa"/>
            <w:tcBorders>
              <w:top w:val="nil"/>
              <w:left w:val="nil"/>
              <w:bottom w:val="nil"/>
              <w:right w:val="nil"/>
            </w:tcBorders>
            <w:noWrap/>
            <w:vAlign w:val="bottom"/>
            <w:hideMark/>
          </w:tcPr>
          <w:p w14:paraId="1D2A23DE" w14:textId="77777777" w:rsidR="00DE3E06" w:rsidRPr="0079179D" w:rsidRDefault="00DE3E06" w:rsidP="006E17B8">
            <w:pPr>
              <w:spacing w:after="0" w:line="240" w:lineRule="auto"/>
              <w:jc w:val="center"/>
              <w:rPr>
                <w:rFonts w:ascii="Times New Roman" w:hAnsi="Times New Roman"/>
                <w:sz w:val="20"/>
                <w:szCs w:val="20"/>
              </w:rPr>
            </w:pPr>
          </w:p>
        </w:tc>
        <w:tc>
          <w:tcPr>
            <w:tcW w:w="1660" w:type="dxa"/>
            <w:tcBorders>
              <w:top w:val="nil"/>
              <w:left w:val="nil"/>
              <w:bottom w:val="nil"/>
              <w:right w:val="nil"/>
            </w:tcBorders>
            <w:noWrap/>
            <w:vAlign w:val="bottom"/>
            <w:hideMark/>
          </w:tcPr>
          <w:p w14:paraId="74AEBF75" w14:textId="77777777" w:rsidR="00DE3E06" w:rsidRPr="0079179D" w:rsidRDefault="00DE3E06" w:rsidP="006E17B8">
            <w:pPr>
              <w:spacing w:after="0" w:line="240" w:lineRule="auto"/>
              <w:rPr>
                <w:rFonts w:ascii="Times New Roman" w:hAnsi="Times New Roman"/>
                <w:sz w:val="20"/>
                <w:szCs w:val="20"/>
              </w:rPr>
            </w:pPr>
          </w:p>
        </w:tc>
      </w:tr>
      <w:tr w:rsidR="00DE3E06" w:rsidRPr="0079179D" w14:paraId="4DC4143F" w14:textId="77777777" w:rsidTr="006E17B8">
        <w:trPr>
          <w:trHeight w:val="315"/>
          <w:jc w:val="center"/>
        </w:trPr>
        <w:tc>
          <w:tcPr>
            <w:tcW w:w="1902" w:type="dxa"/>
            <w:tcBorders>
              <w:top w:val="nil"/>
              <w:left w:val="nil"/>
              <w:bottom w:val="nil"/>
              <w:right w:val="nil"/>
            </w:tcBorders>
            <w:vAlign w:val="center"/>
            <w:hideMark/>
          </w:tcPr>
          <w:p w14:paraId="1B1CD92A" w14:textId="77777777" w:rsidR="00DE3E06" w:rsidRPr="0079179D" w:rsidRDefault="00DE3E06" w:rsidP="006E17B8">
            <w:pPr>
              <w:spacing w:after="0" w:line="240" w:lineRule="auto"/>
              <w:rPr>
                <w:rFonts w:ascii="Times New Roman" w:hAnsi="Times New Roman"/>
                <w:color w:val="000000"/>
                <w:sz w:val="24"/>
                <w:szCs w:val="24"/>
              </w:rPr>
            </w:pPr>
            <w:r w:rsidRPr="0079179D">
              <w:rPr>
                <w:rFonts w:ascii="Times New Roman" w:hAnsi="Times New Roman"/>
                <w:color w:val="000000"/>
                <w:sz w:val="24"/>
                <w:szCs w:val="24"/>
              </w:rPr>
              <w:t>EARN_SIGN</w:t>
            </w:r>
          </w:p>
        </w:tc>
        <w:tc>
          <w:tcPr>
            <w:tcW w:w="322" w:type="dxa"/>
            <w:tcBorders>
              <w:top w:val="nil"/>
              <w:left w:val="nil"/>
              <w:bottom w:val="nil"/>
              <w:right w:val="nil"/>
            </w:tcBorders>
            <w:vAlign w:val="center"/>
            <w:hideMark/>
          </w:tcPr>
          <w:p w14:paraId="3CC3F381" w14:textId="77777777" w:rsidR="00DE3E06" w:rsidRPr="0079179D" w:rsidRDefault="00DE3E06" w:rsidP="006E17B8">
            <w:pPr>
              <w:spacing w:after="0" w:line="240" w:lineRule="auto"/>
              <w:rPr>
                <w:rFonts w:ascii="Times New Roman" w:hAnsi="Times New Roman"/>
                <w:color w:val="000000"/>
                <w:sz w:val="24"/>
                <w:szCs w:val="24"/>
              </w:rPr>
            </w:pPr>
          </w:p>
        </w:tc>
        <w:tc>
          <w:tcPr>
            <w:tcW w:w="2016" w:type="dxa"/>
            <w:tcBorders>
              <w:top w:val="nil"/>
              <w:left w:val="nil"/>
              <w:bottom w:val="nil"/>
              <w:right w:val="nil"/>
            </w:tcBorders>
            <w:vAlign w:val="center"/>
            <w:hideMark/>
          </w:tcPr>
          <w:p w14:paraId="44616E22" w14:textId="77777777" w:rsidR="00DE3E06" w:rsidRPr="0079179D" w:rsidRDefault="00DE3E06" w:rsidP="006E17B8">
            <w:pPr>
              <w:spacing w:after="0" w:line="240" w:lineRule="auto"/>
              <w:jc w:val="center"/>
              <w:rPr>
                <w:rFonts w:ascii="Times New Roman" w:hAnsi="Times New Roman"/>
                <w:color w:val="000000"/>
                <w:sz w:val="24"/>
                <w:szCs w:val="24"/>
              </w:rPr>
            </w:pPr>
            <w:r>
              <w:rPr>
                <w:rFonts w:ascii="Times New Roman" w:hAnsi="Times New Roman" w:cs="Times New Roman"/>
                <w:sz w:val="24"/>
                <w:szCs w:val="24"/>
              </w:rPr>
              <w:t>-0.358</w:t>
            </w:r>
          </w:p>
        </w:tc>
        <w:tc>
          <w:tcPr>
            <w:tcW w:w="1660" w:type="dxa"/>
            <w:tcBorders>
              <w:top w:val="nil"/>
              <w:left w:val="nil"/>
              <w:bottom w:val="nil"/>
              <w:right w:val="nil"/>
            </w:tcBorders>
            <w:vAlign w:val="center"/>
            <w:hideMark/>
          </w:tcPr>
          <w:p w14:paraId="68CAF91F" w14:textId="77777777" w:rsidR="00DE3E06" w:rsidRPr="0079179D" w:rsidRDefault="00DE3E06" w:rsidP="006E17B8">
            <w:pPr>
              <w:spacing w:after="0" w:line="240" w:lineRule="auto"/>
              <w:jc w:val="center"/>
              <w:rPr>
                <w:rFonts w:ascii="Times New Roman" w:hAnsi="Times New Roman"/>
                <w:color w:val="000000"/>
                <w:sz w:val="24"/>
                <w:szCs w:val="24"/>
              </w:rPr>
            </w:pPr>
            <w:r>
              <w:rPr>
                <w:rFonts w:ascii="Times New Roman" w:hAnsi="Times New Roman" w:cs="Times New Roman"/>
                <w:sz w:val="24"/>
                <w:szCs w:val="24"/>
              </w:rPr>
              <w:t>(-1.21)</w:t>
            </w:r>
          </w:p>
        </w:tc>
      </w:tr>
      <w:tr w:rsidR="00DE3E06" w:rsidRPr="0079179D" w14:paraId="76A1DB96" w14:textId="77777777" w:rsidTr="006E17B8">
        <w:trPr>
          <w:trHeight w:val="315"/>
          <w:jc w:val="center"/>
        </w:trPr>
        <w:tc>
          <w:tcPr>
            <w:tcW w:w="1902" w:type="dxa"/>
            <w:tcBorders>
              <w:top w:val="nil"/>
              <w:left w:val="nil"/>
              <w:bottom w:val="nil"/>
              <w:right w:val="nil"/>
            </w:tcBorders>
            <w:vAlign w:val="center"/>
            <w:hideMark/>
          </w:tcPr>
          <w:p w14:paraId="764983A2" w14:textId="77777777" w:rsidR="00DE3E06" w:rsidRPr="0079179D" w:rsidRDefault="00DE3E06" w:rsidP="006E17B8">
            <w:pPr>
              <w:spacing w:after="0" w:line="240" w:lineRule="auto"/>
              <w:jc w:val="center"/>
              <w:rPr>
                <w:rFonts w:ascii="Times New Roman" w:hAnsi="Times New Roman"/>
                <w:color w:val="000000"/>
                <w:sz w:val="24"/>
                <w:szCs w:val="24"/>
              </w:rPr>
            </w:pPr>
          </w:p>
        </w:tc>
        <w:tc>
          <w:tcPr>
            <w:tcW w:w="322" w:type="dxa"/>
            <w:tcBorders>
              <w:top w:val="nil"/>
              <w:left w:val="nil"/>
              <w:bottom w:val="nil"/>
              <w:right w:val="nil"/>
            </w:tcBorders>
            <w:vAlign w:val="center"/>
            <w:hideMark/>
          </w:tcPr>
          <w:p w14:paraId="7D4BDA61" w14:textId="77777777" w:rsidR="00DE3E06" w:rsidRPr="0079179D" w:rsidRDefault="00DE3E06" w:rsidP="006E17B8">
            <w:pPr>
              <w:spacing w:after="0" w:line="240" w:lineRule="auto"/>
              <w:rPr>
                <w:rFonts w:ascii="Times New Roman" w:hAnsi="Times New Roman"/>
                <w:sz w:val="20"/>
                <w:szCs w:val="20"/>
              </w:rPr>
            </w:pPr>
          </w:p>
        </w:tc>
        <w:tc>
          <w:tcPr>
            <w:tcW w:w="2016" w:type="dxa"/>
            <w:tcBorders>
              <w:top w:val="nil"/>
              <w:left w:val="nil"/>
              <w:bottom w:val="nil"/>
              <w:right w:val="nil"/>
            </w:tcBorders>
            <w:noWrap/>
            <w:vAlign w:val="bottom"/>
            <w:hideMark/>
          </w:tcPr>
          <w:p w14:paraId="6205B73E" w14:textId="77777777" w:rsidR="00DE3E06" w:rsidRPr="0079179D" w:rsidRDefault="00DE3E06" w:rsidP="006E17B8">
            <w:pPr>
              <w:spacing w:after="0" w:line="240" w:lineRule="auto"/>
              <w:jc w:val="center"/>
              <w:rPr>
                <w:rFonts w:ascii="Times New Roman" w:hAnsi="Times New Roman"/>
                <w:sz w:val="20"/>
                <w:szCs w:val="20"/>
              </w:rPr>
            </w:pPr>
          </w:p>
        </w:tc>
        <w:tc>
          <w:tcPr>
            <w:tcW w:w="1660" w:type="dxa"/>
            <w:tcBorders>
              <w:top w:val="nil"/>
              <w:left w:val="nil"/>
              <w:bottom w:val="nil"/>
              <w:right w:val="nil"/>
            </w:tcBorders>
            <w:noWrap/>
            <w:vAlign w:val="bottom"/>
            <w:hideMark/>
          </w:tcPr>
          <w:p w14:paraId="1053B70B" w14:textId="77777777" w:rsidR="00DE3E06" w:rsidRPr="0079179D" w:rsidRDefault="00DE3E06" w:rsidP="006E17B8">
            <w:pPr>
              <w:spacing w:after="0" w:line="240" w:lineRule="auto"/>
              <w:rPr>
                <w:rFonts w:ascii="Times New Roman" w:hAnsi="Times New Roman"/>
                <w:sz w:val="20"/>
                <w:szCs w:val="20"/>
              </w:rPr>
            </w:pPr>
          </w:p>
        </w:tc>
      </w:tr>
      <w:tr w:rsidR="00DE3E06" w:rsidRPr="0079179D" w14:paraId="0DB3A958" w14:textId="77777777" w:rsidTr="006E17B8">
        <w:trPr>
          <w:trHeight w:val="315"/>
          <w:jc w:val="center"/>
        </w:trPr>
        <w:tc>
          <w:tcPr>
            <w:tcW w:w="1902" w:type="dxa"/>
            <w:tcBorders>
              <w:top w:val="nil"/>
              <w:left w:val="nil"/>
              <w:bottom w:val="nil"/>
              <w:right w:val="nil"/>
            </w:tcBorders>
            <w:vAlign w:val="center"/>
            <w:hideMark/>
          </w:tcPr>
          <w:p w14:paraId="3A720B58" w14:textId="39AEDBBE" w:rsidR="00DE3E06" w:rsidRPr="0079179D" w:rsidRDefault="00A50345" w:rsidP="006E17B8">
            <w:pPr>
              <w:spacing w:after="0" w:line="240" w:lineRule="auto"/>
              <w:rPr>
                <w:rFonts w:ascii="Times New Roman" w:hAnsi="Times New Roman"/>
                <w:color w:val="000000"/>
                <w:sz w:val="24"/>
                <w:szCs w:val="24"/>
              </w:rPr>
            </w:pPr>
            <w:r>
              <w:rPr>
                <w:rFonts w:ascii="Times New Roman" w:hAnsi="Times New Roman"/>
                <w:color w:val="000000"/>
                <w:sz w:val="24"/>
                <w:szCs w:val="24"/>
              </w:rPr>
              <w:t>SIZE</w:t>
            </w:r>
          </w:p>
        </w:tc>
        <w:tc>
          <w:tcPr>
            <w:tcW w:w="322" w:type="dxa"/>
            <w:tcBorders>
              <w:top w:val="nil"/>
              <w:left w:val="nil"/>
              <w:bottom w:val="nil"/>
              <w:right w:val="nil"/>
            </w:tcBorders>
            <w:vAlign w:val="center"/>
            <w:hideMark/>
          </w:tcPr>
          <w:p w14:paraId="442A0091" w14:textId="77777777" w:rsidR="00DE3E06" w:rsidRPr="0079179D" w:rsidRDefault="00DE3E06" w:rsidP="006E17B8">
            <w:pPr>
              <w:spacing w:after="0" w:line="240" w:lineRule="auto"/>
              <w:rPr>
                <w:rFonts w:ascii="Times New Roman" w:hAnsi="Times New Roman"/>
                <w:color w:val="000000"/>
                <w:sz w:val="24"/>
                <w:szCs w:val="24"/>
              </w:rPr>
            </w:pPr>
          </w:p>
        </w:tc>
        <w:tc>
          <w:tcPr>
            <w:tcW w:w="2016" w:type="dxa"/>
            <w:tcBorders>
              <w:top w:val="nil"/>
              <w:left w:val="nil"/>
              <w:bottom w:val="nil"/>
              <w:right w:val="nil"/>
            </w:tcBorders>
            <w:vAlign w:val="center"/>
            <w:hideMark/>
          </w:tcPr>
          <w:p w14:paraId="1A648D19" w14:textId="77777777" w:rsidR="00DE3E06" w:rsidRPr="0079179D" w:rsidRDefault="00DE3E06" w:rsidP="006E17B8">
            <w:pPr>
              <w:spacing w:after="0" w:line="240" w:lineRule="auto"/>
              <w:jc w:val="center"/>
              <w:rPr>
                <w:rFonts w:ascii="Times New Roman" w:hAnsi="Times New Roman"/>
                <w:color w:val="000000"/>
                <w:sz w:val="24"/>
                <w:szCs w:val="24"/>
              </w:rPr>
            </w:pPr>
            <w:r>
              <w:rPr>
                <w:rFonts w:ascii="Times New Roman" w:hAnsi="Times New Roman" w:cs="Times New Roman"/>
                <w:sz w:val="24"/>
                <w:szCs w:val="24"/>
              </w:rPr>
              <w:t>-0.011*</w:t>
            </w:r>
          </w:p>
        </w:tc>
        <w:tc>
          <w:tcPr>
            <w:tcW w:w="1660" w:type="dxa"/>
            <w:tcBorders>
              <w:top w:val="nil"/>
              <w:left w:val="nil"/>
              <w:bottom w:val="nil"/>
              <w:right w:val="nil"/>
            </w:tcBorders>
            <w:vAlign w:val="center"/>
            <w:hideMark/>
          </w:tcPr>
          <w:p w14:paraId="1E85CA6E" w14:textId="77777777" w:rsidR="00DE3E06" w:rsidRPr="0079179D" w:rsidRDefault="00DE3E06" w:rsidP="006E17B8">
            <w:pPr>
              <w:spacing w:after="0" w:line="240" w:lineRule="auto"/>
              <w:jc w:val="center"/>
              <w:rPr>
                <w:rFonts w:ascii="Times New Roman" w:hAnsi="Times New Roman"/>
                <w:color w:val="000000"/>
                <w:sz w:val="24"/>
                <w:szCs w:val="24"/>
              </w:rPr>
            </w:pPr>
            <w:r>
              <w:rPr>
                <w:rFonts w:ascii="Times New Roman" w:hAnsi="Times New Roman" w:cs="Times New Roman"/>
                <w:sz w:val="24"/>
                <w:szCs w:val="24"/>
              </w:rPr>
              <w:t>(-1.93)</w:t>
            </w:r>
          </w:p>
        </w:tc>
      </w:tr>
      <w:tr w:rsidR="00DE3E06" w:rsidRPr="0079179D" w14:paraId="6CF538D8" w14:textId="77777777" w:rsidTr="006E17B8">
        <w:trPr>
          <w:trHeight w:val="315"/>
          <w:jc w:val="center"/>
        </w:trPr>
        <w:tc>
          <w:tcPr>
            <w:tcW w:w="1902" w:type="dxa"/>
            <w:tcBorders>
              <w:top w:val="nil"/>
              <w:left w:val="nil"/>
              <w:bottom w:val="nil"/>
              <w:right w:val="nil"/>
            </w:tcBorders>
            <w:vAlign w:val="center"/>
            <w:hideMark/>
          </w:tcPr>
          <w:p w14:paraId="40743E1B" w14:textId="77777777" w:rsidR="00DE3E06" w:rsidRPr="0079179D" w:rsidRDefault="00DE3E06" w:rsidP="006E17B8">
            <w:pPr>
              <w:spacing w:after="0" w:line="240" w:lineRule="auto"/>
              <w:jc w:val="center"/>
              <w:rPr>
                <w:rFonts w:ascii="Times New Roman" w:hAnsi="Times New Roman"/>
                <w:color w:val="000000"/>
                <w:sz w:val="24"/>
                <w:szCs w:val="24"/>
              </w:rPr>
            </w:pPr>
          </w:p>
        </w:tc>
        <w:tc>
          <w:tcPr>
            <w:tcW w:w="322" w:type="dxa"/>
            <w:tcBorders>
              <w:top w:val="nil"/>
              <w:left w:val="nil"/>
              <w:bottom w:val="nil"/>
              <w:right w:val="nil"/>
            </w:tcBorders>
            <w:vAlign w:val="center"/>
            <w:hideMark/>
          </w:tcPr>
          <w:p w14:paraId="467F60EF" w14:textId="77777777" w:rsidR="00DE3E06" w:rsidRPr="0079179D" w:rsidRDefault="00DE3E06" w:rsidP="006E17B8">
            <w:pPr>
              <w:spacing w:after="0" w:line="240" w:lineRule="auto"/>
              <w:rPr>
                <w:rFonts w:ascii="Times New Roman" w:hAnsi="Times New Roman"/>
                <w:sz w:val="20"/>
                <w:szCs w:val="20"/>
              </w:rPr>
            </w:pPr>
          </w:p>
        </w:tc>
        <w:tc>
          <w:tcPr>
            <w:tcW w:w="2016" w:type="dxa"/>
            <w:tcBorders>
              <w:top w:val="nil"/>
              <w:left w:val="nil"/>
              <w:bottom w:val="nil"/>
              <w:right w:val="nil"/>
            </w:tcBorders>
            <w:noWrap/>
            <w:vAlign w:val="bottom"/>
            <w:hideMark/>
          </w:tcPr>
          <w:p w14:paraId="1FB68379" w14:textId="77777777" w:rsidR="00DE3E06" w:rsidRPr="0079179D" w:rsidRDefault="00DE3E06" w:rsidP="006E17B8">
            <w:pPr>
              <w:spacing w:after="0" w:line="240" w:lineRule="auto"/>
              <w:jc w:val="center"/>
              <w:rPr>
                <w:rFonts w:ascii="Times New Roman" w:hAnsi="Times New Roman"/>
                <w:sz w:val="20"/>
                <w:szCs w:val="20"/>
              </w:rPr>
            </w:pPr>
          </w:p>
        </w:tc>
        <w:tc>
          <w:tcPr>
            <w:tcW w:w="1660" w:type="dxa"/>
            <w:tcBorders>
              <w:top w:val="nil"/>
              <w:left w:val="nil"/>
              <w:bottom w:val="nil"/>
              <w:right w:val="nil"/>
            </w:tcBorders>
            <w:noWrap/>
            <w:vAlign w:val="bottom"/>
            <w:hideMark/>
          </w:tcPr>
          <w:p w14:paraId="37DE79D9" w14:textId="77777777" w:rsidR="00DE3E06" w:rsidRPr="0079179D" w:rsidRDefault="00DE3E06" w:rsidP="006E17B8">
            <w:pPr>
              <w:spacing w:after="0" w:line="240" w:lineRule="auto"/>
              <w:rPr>
                <w:rFonts w:ascii="Times New Roman" w:hAnsi="Times New Roman"/>
                <w:sz w:val="20"/>
                <w:szCs w:val="20"/>
              </w:rPr>
            </w:pPr>
          </w:p>
        </w:tc>
      </w:tr>
      <w:tr w:rsidR="00DE3E06" w:rsidRPr="0079179D" w14:paraId="31D32ABC" w14:textId="77777777" w:rsidTr="006E17B8">
        <w:trPr>
          <w:trHeight w:val="315"/>
          <w:jc w:val="center"/>
        </w:trPr>
        <w:tc>
          <w:tcPr>
            <w:tcW w:w="1902" w:type="dxa"/>
            <w:tcBorders>
              <w:top w:val="nil"/>
              <w:left w:val="nil"/>
              <w:bottom w:val="nil"/>
              <w:right w:val="nil"/>
            </w:tcBorders>
            <w:vAlign w:val="center"/>
            <w:hideMark/>
          </w:tcPr>
          <w:p w14:paraId="1692AD75" w14:textId="77777777" w:rsidR="00DE3E06" w:rsidRPr="0079179D" w:rsidRDefault="00DE3E06" w:rsidP="006E17B8">
            <w:pPr>
              <w:spacing w:after="0" w:line="240" w:lineRule="auto"/>
              <w:rPr>
                <w:rFonts w:ascii="Times New Roman" w:hAnsi="Times New Roman"/>
                <w:color w:val="000000"/>
                <w:sz w:val="24"/>
                <w:szCs w:val="24"/>
              </w:rPr>
            </w:pPr>
            <w:r w:rsidRPr="0079179D">
              <w:rPr>
                <w:rFonts w:ascii="Times New Roman" w:hAnsi="Times New Roman"/>
                <w:color w:val="000000"/>
                <w:sz w:val="24"/>
                <w:szCs w:val="24"/>
              </w:rPr>
              <w:t>M/B</w:t>
            </w:r>
          </w:p>
        </w:tc>
        <w:tc>
          <w:tcPr>
            <w:tcW w:w="322" w:type="dxa"/>
            <w:tcBorders>
              <w:top w:val="nil"/>
              <w:left w:val="nil"/>
              <w:bottom w:val="nil"/>
              <w:right w:val="nil"/>
            </w:tcBorders>
            <w:vAlign w:val="center"/>
            <w:hideMark/>
          </w:tcPr>
          <w:p w14:paraId="14152611" w14:textId="77777777" w:rsidR="00DE3E06" w:rsidRPr="0079179D" w:rsidRDefault="00DE3E06" w:rsidP="006E17B8">
            <w:pPr>
              <w:spacing w:after="0" w:line="240" w:lineRule="auto"/>
              <w:rPr>
                <w:rFonts w:ascii="Times New Roman" w:hAnsi="Times New Roman"/>
                <w:color w:val="000000"/>
                <w:sz w:val="24"/>
                <w:szCs w:val="24"/>
              </w:rPr>
            </w:pPr>
          </w:p>
        </w:tc>
        <w:tc>
          <w:tcPr>
            <w:tcW w:w="2016" w:type="dxa"/>
            <w:tcBorders>
              <w:top w:val="nil"/>
              <w:left w:val="nil"/>
              <w:bottom w:val="nil"/>
              <w:right w:val="nil"/>
            </w:tcBorders>
            <w:vAlign w:val="center"/>
            <w:hideMark/>
          </w:tcPr>
          <w:p w14:paraId="0A62155F" w14:textId="77777777" w:rsidR="00DE3E06" w:rsidRPr="0079179D" w:rsidRDefault="00DE3E06" w:rsidP="006E17B8">
            <w:pPr>
              <w:spacing w:after="0" w:line="240" w:lineRule="auto"/>
              <w:jc w:val="center"/>
              <w:rPr>
                <w:rFonts w:ascii="Times New Roman" w:hAnsi="Times New Roman"/>
                <w:color w:val="000000"/>
                <w:sz w:val="24"/>
                <w:szCs w:val="24"/>
              </w:rPr>
            </w:pPr>
            <w:r>
              <w:rPr>
                <w:rFonts w:ascii="Times New Roman" w:hAnsi="Times New Roman" w:cs="Times New Roman"/>
                <w:sz w:val="24"/>
                <w:szCs w:val="24"/>
              </w:rPr>
              <w:t>-0.008</w:t>
            </w:r>
          </w:p>
        </w:tc>
        <w:tc>
          <w:tcPr>
            <w:tcW w:w="1660" w:type="dxa"/>
            <w:tcBorders>
              <w:top w:val="nil"/>
              <w:left w:val="nil"/>
              <w:bottom w:val="nil"/>
              <w:right w:val="nil"/>
            </w:tcBorders>
            <w:vAlign w:val="center"/>
            <w:hideMark/>
          </w:tcPr>
          <w:p w14:paraId="6FDAA404" w14:textId="77777777" w:rsidR="00DE3E06" w:rsidRPr="0079179D" w:rsidRDefault="00DE3E06" w:rsidP="006E17B8">
            <w:pPr>
              <w:spacing w:after="0" w:line="240" w:lineRule="auto"/>
              <w:jc w:val="center"/>
              <w:rPr>
                <w:rFonts w:ascii="Times New Roman" w:hAnsi="Times New Roman"/>
                <w:color w:val="000000"/>
                <w:sz w:val="24"/>
                <w:szCs w:val="24"/>
              </w:rPr>
            </w:pPr>
            <w:r>
              <w:rPr>
                <w:rFonts w:ascii="Times New Roman" w:hAnsi="Times New Roman" w:cs="Times New Roman"/>
                <w:sz w:val="24"/>
                <w:szCs w:val="24"/>
              </w:rPr>
              <w:t>(-1.36)</w:t>
            </w:r>
          </w:p>
        </w:tc>
      </w:tr>
      <w:tr w:rsidR="00DE3E06" w:rsidRPr="0079179D" w14:paraId="3C00682F" w14:textId="77777777" w:rsidTr="006E17B8">
        <w:trPr>
          <w:trHeight w:val="315"/>
          <w:jc w:val="center"/>
        </w:trPr>
        <w:tc>
          <w:tcPr>
            <w:tcW w:w="1902" w:type="dxa"/>
            <w:tcBorders>
              <w:top w:val="nil"/>
              <w:left w:val="nil"/>
              <w:bottom w:val="nil"/>
              <w:right w:val="nil"/>
            </w:tcBorders>
            <w:vAlign w:val="center"/>
            <w:hideMark/>
          </w:tcPr>
          <w:p w14:paraId="0D1B3CC0" w14:textId="77777777" w:rsidR="00DE3E06" w:rsidRPr="0079179D" w:rsidRDefault="00DE3E06" w:rsidP="006E17B8">
            <w:pPr>
              <w:spacing w:after="0" w:line="240" w:lineRule="auto"/>
              <w:jc w:val="center"/>
              <w:rPr>
                <w:rFonts w:ascii="Times New Roman" w:hAnsi="Times New Roman"/>
                <w:color w:val="000000"/>
                <w:sz w:val="24"/>
                <w:szCs w:val="24"/>
              </w:rPr>
            </w:pPr>
          </w:p>
        </w:tc>
        <w:tc>
          <w:tcPr>
            <w:tcW w:w="322" w:type="dxa"/>
            <w:tcBorders>
              <w:top w:val="nil"/>
              <w:left w:val="nil"/>
              <w:bottom w:val="nil"/>
              <w:right w:val="nil"/>
            </w:tcBorders>
            <w:vAlign w:val="center"/>
            <w:hideMark/>
          </w:tcPr>
          <w:p w14:paraId="68F64C0B" w14:textId="77777777" w:rsidR="00DE3E06" w:rsidRPr="0079179D" w:rsidRDefault="00DE3E06" w:rsidP="006E17B8">
            <w:pPr>
              <w:spacing w:after="0" w:line="240" w:lineRule="auto"/>
              <w:rPr>
                <w:rFonts w:ascii="Times New Roman" w:hAnsi="Times New Roman"/>
                <w:sz w:val="20"/>
                <w:szCs w:val="20"/>
              </w:rPr>
            </w:pPr>
          </w:p>
        </w:tc>
        <w:tc>
          <w:tcPr>
            <w:tcW w:w="2016" w:type="dxa"/>
            <w:tcBorders>
              <w:top w:val="nil"/>
              <w:left w:val="nil"/>
              <w:bottom w:val="nil"/>
              <w:right w:val="nil"/>
            </w:tcBorders>
            <w:noWrap/>
            <w:vAlign w:val="bottom"/>
            <w:hideMark/>
          </w:tcPr>
          <w:p w14:paraId="4BD027F9" w14:textId="77777777" w:rsidR="00DE3E06" w:rsidRPr="0079179D" w:rsidRDefault="00DE3E06" w:rsidP="006E17B8">
            <w:pPr>
              <w:spacing w:after="0" w:line="240" w:lineRule="auto"/>
              <w:jc w:val="center"/>
              <w:rPr>
                <w:rFonts w:ascii="Times New Roman" w:hAnsi="Times New Roman"/>
                <w:sz w:val="20"/>
                <w:szCs w:val="20"/>
              </w:rPr>
            </w:pPr>
          </w:p>
        </w:tc>
        <w:tc>
          <w:tcPr>
            <w:tcW w:w="1660" w:type="dxa"/>
            <w:tcBorders>
              <w:top w:val="nil"/>
              <w:left w:val="nil"/>
              <w:bottom w:val="nil"/>
              <w:right w:val="nil"/>
            </w:tcBorders>
            <w:noWrap/>
            <w:vAlign w:val="bottom"/>
            <w:hideMark/>
          </w:tcPr>
          <w:p w14:paraId="0B9A5D77" w14:textId="77777777" w:rsidR="00DE3E06" w:rsidRPr="0079179D" w:rsidRDefault="00DE3E06" w:rsidP="006E17B8">
            <w:pPr>
              <w:spacing w:after="0" w:line="240" w:lineRule="auto"/>
              <w:rPr>
                <w:rFonts w:ascii="Times New Roman" w:hAnsi="Times New Roman"/>
                <w:sz w:val="20"/>
                <w:szCs w:val="20"/>
              </w:rPr>
            </w:pPr>
          </w:p>
        </w:tc>
      </w:tr>
      <w:tr w:rsidR="00DE3E06" w:rsidRPr="0079179D" w14:paraId="69CB5764" w14:textId="77777777" w:rsidTr="006E17B8">
        <w:trPr>
          <w:trHeight w:val="315"/>
          <w:jc w:val="center"/>
        </w:trPr>
        <w:tc>
          <w:tcPr>
            <w:tcW w:w="1902" w:type="dxa"/>
            <w:tcBorders>
              <w:top w:val="nil"/>
              <w:left w:val="nil"/>
              <w:bottom w:val="nil"/>
              <w:right w:val="nil"/>
            </w:tcBorders>
            <w:vAlign w:val="center"/>
            <w:hideMark/>
          </w:tcPr>
          <w:p w14:paraId="76A9B7A0" w14:textId="77777777" w:rsidR="00DE3E06" w:rsidRPr="0079179D" w:rsidRDefault="00DE3E06" w:rsidP="006E17B8">
            <w:pPr>
              <w:spacing w:after="0" w:line="240" w:lineRule="auto"/>
              <w:rPr>
                <w:rFonts w:ascii="Times New Roman" w:hAnsi="Times New Roman"/>
                <w:color w:val="000000"/>
                <w:sz w:val="24"/>
                <w:szCs w:val="24"/>
              </w:rPr>
            </w:pPr>
            <w:r w:rsidRPr="0079179D">
              <w:rPr>
                <w:rFonts w:ascii="Times New Roman" w:hAnsi="Times New Roman"/>
                <w:color w:val="000000"/>
                <w:sz w:val="24"/>
                <w:szCs w:val="24"/>
              </w:rPr>
              <w:t>RD</w:t>
            </w:r>
            <w:r>
              <w:rPr>
                <w:rFonts w:ascii="Times New Roman" w:hAnsi="Times New Roman"/>
                <w:color w:val="000000"/>
                <w:sz w:val="24"/>
                <w:szCs w:val="24"/>
              </w:rPr>
              <w:t>/TA</w:t>
            </w:r>
          </w:p>
        </w:tc>
        <w:tc>
          <w:tcPr>
            <w:tcW w:w="322" w:type="dxa"/>
            <w:tcBorders>
              <w:top w:val="nil"/>
              <w:left w:val="nil"/>
              <w:bottom w:val="nil"/>
              <w:right w:val="nil"/>
            </w:tcBorders>
            <w:vAlign w:val="center"/>
            <w:hideMark/>
          </w:tcPr>
          <w:p w14:paraId="67F66C2F" w14:textId="77777777" w:rsidR="00DE3E06" w:rsidRPr="0079179D" w:rsidRDefault="00DE3E06" w:rsidP="006E17B8">
            <w:pPr>
              <w:spacing w:after="0" w:line="240" w:lineRule="auto"/>
              <w:rPr>
                <w:rFonts w:ascii="Times New Roman" w:hAnsi="Times New Roman"/>
                <w:color w:val="000000"/>
                <w:sz w:val="24"/>
                <w:szCs w:val="24"/>
              </w:rPr>
            </w:pPr>
          </w:p>
        </w:tc>
        <w:tc>
          <w:tcPr>
            <w:tcW w:w="2016" w:type="dxa"/>
            <w:tcBorders>
              <w:top w:val="nil"/>
              <w:left w:val="nil"/>
              <w:bottom w:val="nil"/>
              <w:right w:val="nil"/>
            </w:tcBorders>
            <w:vAlign w:val="center"/>
            <w:hideMark/>
          </w:tcPr>
          <w:p w14:paraId="73A1390A" w14:textId="12C78DE5" w:rsidR="00DE3E06" w:rsidRPr="0079179D" w:rsidRDefault="00DE3E06" w:rsidP="006E17B8">
            <w:pPr>
              <w:spacing w:after="0" w:line="240" w:lineRule="auto"/>
              <w:jc w:val="center"/>
              <w:rPr>
                <w:rFonts w:ascii="Times New Roman" w:hAnsi="Times New Roman"/>
                <w:color w:val="000000"/>
                <w:sz w:val="24"/>
                <w:szCs w:val="24"/>
              </w:rPr>
            </w:pPr>
            <w:r>
              <w:rPr>
                <w:rFonts w:ascii="Times New Roman" w:hAnsi="Times New Roman" w:cs="Times New Roman"/>
                <w:sz w:val="24"/>
                <w:szCs w:val="24"/>
              </w:rPr>
              <w:t>-0.020***</w:t>
            </w:r>
          </w:p>
        </w:tc>
        <w:tc>
          <w:tcPr>
            <w:tcW w:w="1660" w:type="dxa"/>
            <w:tcBorders>
              <w:top w:val="nil"/>
              <w:left w:val="nil"/>
              <w:bottom w:val="nil"/>
              <w:right w:val="nil"/>
            </w:tcBorders>
            <w:vAlign w:val="center"/>
            <w:hideMark/>
          </w:tcPr>
          <w:p w14:paraId="0B16190A" w14:textId="77777777" w:rsidR="00DE3E06" w:rsidRPr="0079179D" w:rsidRDefault="00DE3E06" w:rsidP="006E17B8">
            <w:pPr>
              <w:spacing w:after="0" w:line="240" w:lineRule="auto"/>
              <w:jc w:val="center"/>
              <w:rPr>
                <w:rFonts w:ascii="Times New Roman" w:hAnsi="Times New Roman"/>
                <w:color w:val="000000"/>
                <w:sz w:val="24"/>
                <w:szCs w:val="24"/>
              </w:rPr>
            </w:pPr>
            <w:r>
              <w:rPr>
                <w:rFonts w:ascii="Times New Roman" w:hAnsi="Times New Roman" w:cs="Times New Roman"/>
                <w:sz w:val="24"/>
                <w:szCs w:val="24"/>
              </w:rPr>
              <w:t>(-2.62)</w:t>
            </w:r>
          </w:p>
        </w:tc>
      </w:tr>
      <w:tr w:rsidR="00DE3E06" w:rsidRPr="0079179D" w14:paraId="680797D7" w14:textId="77777777" w:rsidTr="006E17B8">
        <w:trPr>
          <w:trHeight w:val="315"/>
          <w:jc w:val="center"/>
        </w:trPr>
        <w:tc>
          <w:tcPr>
            <w:tcW w:w="1902" w:type="dxa"/>
            <w:tcBorders>
              <w:top w:val="nil"/>
              <w:left w:val="nil"/>
              <w:bottom w:val="nil"/>
              <w:right w:val="nil"/>
            </w:tcBorders>
            <w:vAlign w:val="center"/>
            <w:hideMark/>
          </w:tcPr>
          <w:p w14:paraId="38E49176" w14:textId="77777777" w:rsidR="00DE3E06" w:rsidRPr="0079179D" w:rsidRDefault="00DE3E06" w:rsidP="006E17B8">
            <w:pPr>
              <w:spacing w:after="0" w:line="240" w:lineRule="auto"/>
              <w:jc w:val="center"/>
              <w:rPr>
                <w:rFonts w:ascii="Times New Roman" w:hAnsi="Times New Roman"/>
                <w:color w:val="000000"/>
                <w:sz w:val="24"/>
                <w:szCs w:val="24"/>
              </w:rPr>
            </w:pPr>
          </w:p>
        </w:tc>
        <w:tc>
          <w:tcPr>
            <w:tcW w:w="322" w:type="dxa"/>
            <w:tcBorders>
              <w:top w:val="nil"/>
              <w:left w:val="nil"/>
              <w:bottom w:val="nil"/>
              <w:right w:val="nil"/>
            </w:tcBorders>
            <w:vAlign w:val="center"/>
            <w:hideMark/>
          </w:tcPr>
          <w:p w14:paraId="33AD388E" w14:textId="77777777" w:rsidR="00DE3E06" w:rsidRPr="0079179D" w:rsidRDefault="00DE3E06" w:rsidP="006E17B8">
            <w:pPr>
              <w:spacing w:after="0" w:line="240" w:lineRule="auto"/>
              <w:rPr>
                <w:rFonts w:ascii="Times New Roman" w:hAnsi="Times New Roman"/>
                <w:sz w:val="20"/>
                <w:szCs w:val="20"/>
              </w:rPr>
            </w:pPr>
          </w:p>
        </w:tc>
        <w:tc>
          <w:tcPr>
            <w:tcW w:w="2016" w:type="dxa"/>
            <w:tcBorders>
              <w:top w:val="nil"/>
              <w:left w:val="nil"/>
              <w:bottom w:val="nil"/>
              <w:right w:val="nil"/>
            </w:tcBorders>
            <w:noWrap/>
            <w:vAlign w:val="bottom"/>
            <w:hideMark/>
          </w:tcPr>
          <w:p w14:paraId="175F6D84" w14:textId="77777777" w:rsidR="00DE3E06" w:rsidRPr="0079179D" w:rsidRDefault="00DE3E06" w:rsidP="006E17B8">
            <w:pPr>
              <w:spacing w:after="0" w:line="240" w:lineRule="auto"/>
              <w:jc w:val="center"/>
              <w:rPr>
                <w:rFonts w:ascii="Times New Roman" w:hAnsi="Times New Roman"/>
                <w:sz w:val="20"/>
                <w:szCs w:val="20"/>
              </w:rPr>
            </w:pPr>
          </w:p>
        </w:tc>
        <w:tc>
          <w:tcPr>
            <w:tcW w:w="1660" w:type="dxa"/>
            <w:tcBorders>
              <w:top w:val="nil"/>
              <w:left w:val="nil"/>
              <w:bottom w:val="nil"/>
              <w:right w:val="nil"/>
            </w:tcBorders>
            <w:noWrap/>
            <w:vAlign w:val="bottom"/>
            <w:hideMark/>
          </w:tcPr>
          <w:p w14:paraId="42F910D5" w14:textId="77777777" w:rsidR="00DE3E06" w:rsidRPr="0079179D" w:rsidRDefault="00DE3E06" w:rsidP="006E17B8">
            <w:pPr>
              <w:spacing w:after="0" w:line="240" w:lineRule="auto"/>
              <w:rPr>
                <w:rFonts w:ascii="Times New Roman" w:hAnsi="Times New Roman"/>
                <w:sz w:val="20"/>
                <w:szCs w:val="20"/>
              </w:rPr>
            </w:pPr>
          </w:p>
        </w:tc>
      </w:tr>
      <w:tr w:rsidR="00DE3E06" w:rsidRPr="0079179D" w14:paraId="48015F93" w14:textId="77777777" w:rsidTr="006E17B8">
        <w:trPr>
          <w:trHeight w:val="315"/>
          <w:jc w:val="center"/>
        </w:trPr>
        <w:tc>
          <w:tcPr>
            <w:tcW w:w="1902" w:type="dxa"/>
            <w:tcBorders>
              <w:top w:val="nil"/>
              <w:left w:val="nil"/>
              <w:bottom w:val="nil"/>
              <w:right w:val="nil"/>
            </w:tcBorders>
            <w:vAlign w:val="center"/>
            <w:hideMark/>
          </w:tcPr>
          <w:p w14:paraId="0658F27E" w14:textId="2E7E3850" w:rsidR="00DE3E06" w:rsidRPr="0079179D" w:rsidRDefault="00DE3E06" w:rsidP="006E17B8">
            <w:pPr>
              <w:spacing w:after="0" w:line="240" w:lineRule="auto"/>
              <w:rPr>
                <w:rFonts w:ascii="Times New Roman" w:hAnsi="Times New Roman"/>
                <w:color w:val="000000"/>
                <w:sz w:val="24"/>
                <w:szCs w:val="24"/>
              </w:rPr>
            </w:pPr>
            <w:r w:rsidRPr="0079179D">
              <w:rPr>
                <w:rFonts w:ascii="Times New Roman" w:hAnsi="Times New Roman"/>
                <w:color w:val="000000"/>
                <w:sz w:val="24"/>
                <w:szCs w:val="24"/>
              </w:rPr>
              <w:t>LEV</w:t>
            </w:r>
          </w:p>
        </w:tc>
        <w:tc>
          <w:tcPr>
            <w:tcW w:w="322" w:type="dxa"/>
            <w:tcBorders>
              <w:top w:val="nil"/>
              <w:left w:val="nil"/>
              <w:bottom w:val="nil"/>
              <w:right w:val="nil"/>
            </w:tcBorders>
            <w:vAlign w:val="center"/>
            <w:hideMark/>
          </w:tcPr>
          <w:p w14:paraId="1D5B8805" w14:textId="77777777" w:rsidR="00DE3E06" w:rsidRPr="0079179D" w:rsidRDefault="00DE3E06" w:rsidP="006E17B8">
            <w:pPr>
              <w:spacing w:after="0" w:line="240" w:lineRule="auto"/>
              <w:rPr>
                <w:rFonts w:ascii="Times New Roman" w:hAnsi="Times New Roman"/>
                <w:color w:val="000000"/>
                <w:sz w:val="24"/>
                <w:szCs w:val="24"/>
              </w:rPr>
            </w:pPr>
          </w:p>
        </w:tc>
        <w:tc>
          <w:tcPr>
            <w:tcW w:w="2016" w:type="dxa"/>
            <w:tcBorders>
              <w:top w:val="nil"/>
              <w:left w:val="nil"/>
              <w:bottom w:val="nil"/>
              <w:right w:val="nil"/>
            </w:tcBorders>
            <w:vAlign w:val="center"/>
            <w:hideMark/>
          </w:tcPr>
          <w:p w14:paraId="5B7DDCCA" w14:textId="3FE9268A" w:rsidR="00DE3E06" w:rsidRPr="0079179D" w:rsidRDefault="00DE3E06" w:rsidP="006E17B8">
            <w:pPr>
              <w:spacing w:after="0" w:line="240" w:lineRule="auto"/>
              <w:jc w:val="center"/>
              <w:rPr>
                <w:rFonts w:ascii="Times New Roman" w:hAnsi="Times New Roman"/>
                <w:color w:val="000000"/>
                <w:sz w:val="24"/>
                <w:szCs w:val="24"/>
              </w:rPr>
            </w:pPr>
            <w:r>
              <w:rPr>
                <w:rFonts w:ascii="Times New Roman" w:hAnsi="Times New Roman" w:cs="Times New Roman"/>
                <w:sz w:val="24"/>
                <w:szCs w:val="24"/>
              </w:rPr>
              <w:t>0.028***</w:t>
            </w:r>
          </w:p>
        </w:tc>
        <w:tc>
          <w:tcPr>
            <w:tcW w:w="1660" w:type="dxa"/>
            <w:tcBorders>
              <w:top w:val="nil"/>
              <w:left w:val="nil"/>
              <w:bottom w:val="nil"/>
              <w:right w:val="nil"/>
            </w:tcBorders>
            <w:vAlign w:val="center"/>
            <w:hideMark/>
          </w:tcPr>
          <w:p w14:paraId="068C1B56" w14:textId="77777777" w:rsidR="00DE3E06" w:rsidRPr="0079179D" w:rsidRDefault="00DE3E06" w:rsidP="006E17B8">
            <w:pPr>
              <w:spacing w:after="0" w:line="240" w:lineRule="auto"/>
              <w:jc w:val="center"/>
              <w:rPr>
                <w:rFonts w:ascii="Times New Roman" w:hAnsi="Times New Roman"/>
                <w:color w:val="000000"/>
                <w:sz w:val="24"/>
                <w:szCs w:val="24"/>
              </w:rPr>
            </w:pPr>
            <w:r>
              <w:rPr>
                <w:rFonts w:ascii="Times New Roman" w:hAnsi="Times New Roman" w:cs="Times New Roman"/>
                <w:sz w:val="24"/>
                <w:szCs w:val="24"/>
              </w:rPr>
              <w:t>(4.13)</w:t>
            </w:r>
          </w:p>
        </w:tc>
      </w:tr>
      <w:tr w:rsidR="00DE3E06" w:rsidRPr="0079179D" w14:paraId="25EF3BEA" w14:textId="77777777" w:rsidTr="006E17B8">
        <w:trPr>
          <w:trHeight w:val="315"/>
          <w:jc w:val="center"/>
        </w:trPr>
        <w:tc>
          <w:tcPr>
            <w:tcW w:w="1902" w:type="dxa"/>
            <w:tcBorders>
              <w:top w:val="nil"/>
              <w:left w:val="nil"/>
              <w:bottom w:val="nil"/>
              <w:right w:val="nil"/>
            </w:tcBorders>
            <w:vAlign w:val="center"/>
            <w:hideMark/>
          </w:tcPr>
          <w:p w14:paraId="77BC601E" w14:textId="77777777" w:rsidR="00DE3E06" w:rsidRPr="0079179D" w:rsidRDefault="00DE3E06" w:rsidP="006E17B8">
            <w:pPr>
              <w:spacing w:after="0" w:line="240" w:lineRule="auto"/>
              <w:jc w:val="center"/>
              <w:rPr>
                <w:rFonts w:ascii="Times New Roman" w:hAnsi="Times New Roman"/>
                <w:color w:val="000000"/>
                <w:sz w:val="24"/>
                <w:szCs w:val="24"/>
              </w:rPr>
            </w:pPr>
          </w:p>
        </w:tc>
        <w:tc>
          <w:tcPr>
            <w:tcW w:w="322" w:type="dxa"/>
            <w:tcBorders>
              <w:top w:val="nil"/>
              <w:left w:val="nil"/>
              <w:bottom w:val="nil"/>
              <w:right w:val="nil"/>
            </w:tcBorders>
            <w:vAlign w:val="center"/>
            <w:hideMark/>
          </w:tcPr>
          <w:p w14:paraId="10C05750" w14:textId="77777777" w:rsidR="00DE3E06" w:rsidRPr="0079179D" w:rsidRDefault="00DE3E06" w:rsidP="006E17B8">
            <w:pPr>
              <w:spacing w:after="0" w:line="240" w:lineRule="auto"/>
              <w:rPr>
                <w:rFonts w:ascii="Times New Roman" w:hAnsi="Times New Roman"/>
                <w:sz w:val="20"/>
                <w:szCs w:val="20"/>
              </w:rPr>
            </w:pPr>
          </w:p>
        </w:tc>
        <w:tc>
          <w:tcPr>
            <w:tcW w:w="2016" w:type="dxa"/>
            <w:tcBorders>
              <w:top w:val="nil"/>
              <w:left w:val="nil"/>
              <w:bottom w:val="nil"/>
              <w:right w:val="nil"/>
            </w:tcBorders>
            <w:noWrap/>
            <w:vAlign w:val="bottom"/>
            <w:hideMark/>
          </w:tcPr>
          <w:p w14:paraId="3DE247A4" w14:textId="77777777" w:rsidR="00DE3E06" w:rsidRPr="0079179D" w:rsidRDefault="00DE3E06" w:rsidP="006E17B8">
            <w:pPr>
              <w:spacing w:after="0" w:line="240" w:lineRule="auto"/>
              <w:jc w:val="center"/>
              <w:rPr>
                <w:rFonts w:ascii="Times New Roman" w:hAnsi="Times New Roman"/>
                <w:sz w:val="20"/>
                <w:szCs w:val="20"/>
              </w:rPr>
            </w:pPr>
          </w:p>
        </w:tc>
        <w:tc>
          <w:tcPr>
            <w:tcW w:w="1660" w:type="dxa"/>
            <w:tcBorders>
              <w:top w:val="nil"/>
              <w:left w:val="nil"/>
              <w:bottom w:val="nil"/>
              <w:right w:val="nil"/>
            </w:tcBorders>
            <w:noWrap/>
            <w:vAlign w:val="bottom"/>
            <w:hideMark/>
          </w:tcPr>
          <w:p w14:paraId="2CE34588" w14:textId="77777777" w:rsidR="00DE3E06" w:rsidRPr="0079179D" w:rsidRDefault="00DE3E06" w:rsidP="006E17B8">
            <w:pPr>
              <w:spacing w:after="0" w:line="240" w:lineRule="auto"/>
              <w:rPr>
                <w:rFonts w:ascii="Times New Roman" w:hAnsi="Times New Roman"/>
                <w:sz w:val="20"/>
                <w:szCs w:val="20"/>
              </w:rPr>
            </w:pPr>
          </w:p>
        </w:tc>
      </w:tr>
      <w:tr w:rsidR="00DE3E06" w:rsidRPr="0079179D" w14:paraId="62A0E361" w14:textId="77777777" w:rsidTr="006E17B8">
        <w:trPr>
          <w:trHeight w:val="315"/>
          <w:jc w:val="center"/>
        </w:trPr>
        <w:tc>
          <w:tcPr>
            <w:tcW w:w="1902" w:type="dxa"/>
            <w:tcBorders>
              <w:top w:val="nil"/>
              <w:left w:val="nil"/>
              <w:bottom w:val="nil"/>
              <w:right w:val="nil"/>
            </w:tcBorders>
            <w:vAlign w:val="center"/>
            <w:hideMark/>
          </w:tcPr>
          <w:p w14:paraId="65DA3AC0" w14:textId="77777777" w:rsidR="00DE3E06" w:rsidRPr="0079179D" w:rsidRDefault="00DE3E06" w:rsidP="006E17B8">
            <w:pPr>
              <w:spacing w:after="0" w:line="240" w:lineRule="auto"/>
              <w:rPr>
                <w:rFonts w:ascii="Times New Roman" w:hAnsi="Times New Roman"/>
                <w:color w:val="000000"/>
                <w:sz w:val="24"/>
                <w:szCs w:val="24"/>
              </w:rPr>
            </w:pPr>
            <w:r w:rsidRPr="0079179D">
              <w:rPr>
                <w:rFonts w:ascii="Times New Roman" w:hAnsi="Times New Roman"/>
                <w:color w:val="000000"/>
                <w:sz w:val="24"/>
                <w:szCs w:val="24"/>
              </w:rPr>
              <w:t>BETA</w:t>
            </w:r>
          </w:p>
        </w:tc>
        <w:tc>
          <w:tcPr>
            <w:tcW w:w="322" w:type="dxa"/>
            <w:tcBorders>
              <w:top w:val="nil"/>
              <w:left w:val="nil"/>
              <w:bottom w:val="nil"/>
              <w:right w:val="nil"/>
            </w:tcBorders>
            <w:vAlign w:val="center"/>
            <w:hideMark/>
          </w:tcPr>
          <w:p w14:paraId="000CC12E" w14:textId="77777777" w:rsidR="00DE3E06" w:rsidRPr="0079179D" w:rsidRDefault="00DE3E06" w:rsidP="006E17B8">
            <w:pPr>
              <w:spacing w:after="0" w:line="240" w:lineRule="auto"/>
              <w:rPr>
                <w:rFonts w:ascii="Times New Roman" w:hAnsi="Times New Roman"/>
                <w:color w:val="000000"/>
                <w:sz w:val="24"/>
                <w:szCs w:val="24"/>
              </w:rPr>
            </w:pPr>
          </w:p>
        </w:tc>
        <w:tc>
          <w:tcPr>
            <w:tcW w:w="2016" w:type="dxa"/>
            <w:tcBorders>
              <w:top w:val="nil"/>
              <w:left w:val="nil"/>
              <w:bottom w:val="nil"/>
              <w:right w:val="nil"/>
            </w:tcBorders>
            <w:vAlign w:val="center"/>
            <w:hideMark/>
          </w:tcPr>
          <w:p w14:paraId="045BA4A2" w14:textId="77777777" w:rsidR="00DE3E06" w:rsidRPr="0079179D" w:rsidRDefault="00DE3E06" w:rsidP="006E17B8">
            <w:pPr>
              <w:spacing w:after="0" w:line="240" w:lineRule="auto"/>
              <w:jc w:val="center"/>
              <w:rPr>
                <w:rFonts w:ascii="Times New Roman" w:hAnsi="Times New Roman"/>
                <w:color w:val="000000"/>
                <w:sz w:val="24"/>
                <w:szCs w:val="24"/>
              </w:rPr>
            </w:pPr>
            <w:r>
              <w:rPr>
                <w:rFonts w:ascii="Times New Roman" w:hAnsi="Times New Roman" w:cs="Times New Roman"/>
                <w:sz w:val="24"/>
                <w:szCs w:val="24"/>
              </w:rPr>
              <w:t>-0.007</w:t>
            </w:r>
          </w:p>
        </w:tc>
        <w:tc>
          <w:tcPr>
            <w:tcW w:w="1660" w:type="dxa"/>
            <w:tcBorders>
              <w:top w:val="nil"/>
              <w:left w:val="nil"/>
              <w:bottom w:val="nil"/>
              <w:right w:val="nil"/>
            </w:tcBorders>
            <w:vAlign w:val="center"/>
            <w:hideMark/>
          </w:tcPr>
          <w:p w14:paraId="4AC780B1" w14:textId="77777777" w:rsidR="00DE3E06" w:rsidRPr="0079179D" w:rsidRDefault="00DE3E06" w:rsidP="006E17B8">
            <w:pPr>
              <w:spacing w:after="0" w:line="240" w:lineRule="auto"/>
              <w:jc w:val="center"/>
              <w:rPr>
                <w:rFonts w:ascii="Times New Roman" w:hAnsi="Times New Roman"/>
                <w:color w:val="000000"/>
                <w:sz w:val="24"/>
                <w:szCs w:val="24"/>
              </w:rPr>
            </w:pPr>
            <w:r>
              <w:rPr>
                <w:rFonts w:ascii="Times New Roman" w:hAnsi="Times New Roman" w:cs="Times New Roman"/>
                <w:sz w:val="24"/>
                <w:szCs w:val="24"/>
              </w:rPr>
              <w:t>(-1.06)</w:t>
            </w:r>
          </w:p>
        </w:tc>
      </w:tr>
      <w:tr w:rsidR="00DE3E06" w:rsidRPr="0079179D" w14:paraId="06FC7E46" w14:textId="77777777" w:rsidTr="006E17B8">
        <w:trPr>
          <w:trHeight w:val="315"/>
          <w:jc w:val="center"/>
        </w:trPr>
        <w:tc>
          <w:tcPr>
            <w:tcW w:w="1902" w:type="dxa"/>
            <w:tcBorders>
              <w:top w:val="nil"/>
              <w:left w:val="nil"/>
              <w:bottom w:val="nil"/>
              <w:right w:val="nil"/>
            </w:tcBorders>
            <w:vAlign w:val="center"/>
            <w:hideMark/>
          </w:tcPr>
          <w:p w14:paraId="513FE923" w14:textId="77777777" w:rsidR="00DE3E06" w:rsidRPr="0079179D" w:rsidRDefault="00DE3E06" w:rsidP="006E17B8">
            <w:pPr>
              <w:spacing w:after="0" w:line="240" w:lineRule="auto"/>
              <w:jc w:val="center"/>
              <w:rPr>
                <w:rFonts w:ascii="Times New Roman" w:hAnsi="Times New Roman"/>
                <w:color w:val="000000"/>
                <w:sz w:val="24"/>
                <w:szCs w:val="24"/>
              </w:rPr>
            </w:pPr>
          </w:p>
        </w:tc>
        <w:tc>
          <w:tcPr>
            <w:tcW w:w="322" w:type="dxa"/>
            <w:tcBorders>
              <w:top w:val="nil"/>
              <w:left w:val="nil"/>
              <w:bottom w:val="nil"/>
              <w:right w:val="nil"/>
            </w:tcBorders>
            <w:vAlign w:val="center"/>
            <w:hideMark/>
          </w:tcPr>
          <w:p w14:paraId="1BDFC8F2" w14:textId="77777777" w:rsidR="00DE3E06" w:rsidRPr="0079179D" w:rsidRDefault="00DE3E06" w:rsidP="006E17B8">
            <w:pPr>
              <w:spacing w:after="0" w:line="240" w:lineRule="auto"/>
              <w:rPr>
                <w:rFonts w:ascii="Times New Roman" w:hAnsi="Times New Roman"/>
                <w:sz w:val="20"/>
                <w:szCs w:val="20"/>
              </w:rPr>
            </w:pPr>
          </w:p>
        </w:tc>
        <w:tc>
          <w:tcPr>
            <w:tcW w:w="2016" w:type="dxa"/>
            <w:tcBorders>
              <w:top w:val="nil"/>
              <w:left w:val="nil"/>
              <w:bottom w:val="nil"/>
              <w:right w:val="nil"/>
            </w:tcBorders>
            <w:noWrap/>
            <w:vAlign w:val="bottom"/>
            <w:hideMark/>
          </w:tcPr>
          <w:p w14:paraId="732CAE99" w14:textId="77777777" w:rsidR="00DE3E06" w:rsidRPr="0079179D" w:rsidRDefault="00DE3E06" w:rsidP="006E17B8">
            <w:pPr>
              <w:spacing w:after="0" w:line="240" w:lineRule="auto"/>
              <w:jc w:val="center"/>
              <w:rPr>
                <w:rFonts w:ascii="Times New Roman" w:hAnsi="Times New Roman"/>
                <w:sz w:val="20"/>
                <w:szCs w:val="20"/>
              </w:rPr>
            </w:pPr>
          </w:p>
        </w:tc>
        <w:tc>
          <w:tcPr>
            <w:tcW w:w="1660" w:type="dxa"/>
            <w:tcBorders>
              <w:top w:val="nil"/>
              <w:left w:val="nil"/>
              <w:bottom w:val="nil"/>
              <w:right w:val="nil"/>
            </w:tcBorders>
            <w:noWrap/>
            <w:vAlign w:val="bottom"/>
            <w:hideMark/>
          </w:tcPr>
          <w:p w14:paraId="143316C0" w14:textId="77777777" w:rsidR="00DE3E06" w:rsidRPr="0079179D" w:rsidRDefault="00DE3E06" w:rsidP="006E17B8">
            <w:pPr>
              <w:spacing w:after="0" w:line="240" w:lineRule="auto"/>
              <w:rPr>
                <w:rFonts w:ascii="Times New Roman" w:hAnsi="Times New Roman"/>
                <w:sz w:val="20"/>
                <w:szCs w:val="20"/>
              </w:rPr>
            </w:pPr>
          </w:p>
        </w:tc>
      </w:tr>
      <w:tr w:rsidR="00DE3E06" w:rsidRPr="0079179D" w14:paraId="159D7EE9" w14:textId="77777777" w:rsidTr="006E17B8">
        <w:trPr>
          <w:trHeight w:val="315"/>
          <w:jc w:val="center"/>
        </w:trPr>
        <w:tc>
          <w:tcPr>
            <w:tcW w:w="1902" w:type="dxa"/>
            <w:tcBorders>
              <w:top w:val="nil"/>
              <w:left w:val="nil"/>
              <w:bottom w:val="nil"/>
              <w:right w:val="nil"/>
            </w:tcBorders>
            <w:vAlign w:val="center"/>
            <w:hideMark/>
          </w:tcPr>
          <w:p w14:paraId="1F84F196" w14:textId="77777777" w:rsidR="00DE3E06" w:rsidRPr="0079179D" w:rsidRDefault="00DE3E06" w:rsidP="006E17B8">
            <w:pPr>
              <w:spacing w:after="0" w:line="240" w:lineRule="auto"/>
              <w:rPr>
                <w:rFonts w:ascii="Times New Roman" w:hAnsi="Times New Roman"/>
                <w:color w:val="000000"/>
                <w:sz w:val="24"/>
                <w:szCs w:val="24"/>
              </w:rPr>
            </w:pPr>
            <w:r w:rsidRPr="0079179D">
              <w:rPr>
                <w:rFonts w:ascii="Times New Roman" w:hAnsi="Times New Roman"/>
                <w:color w:val="000000"/>
                <w:sz w:val="24"/>
                <w:szCs w:val="24"/>
              </w:rPr>
              <w:t>AGE</w:t>
            </w:r>
          </w:p>
        </w:tc>
        <w:tc>
          <w:tcPr>
            <w:tcW w:w="322" w:type="dxa"/>
            <w:tcBorders>
              <w:top w:val="nil"/>
              <w:left w:val="nil"/>
              <w:bottom w:val="nil"/>
              <w:right w:val="nil"/>
            </w:tcBorders>
            <w:vAlign w:val="center"/>
            <w:hideMark/>
          </w:tcPr>
          <w:p w14:paraId="4A34DD23" w14:textId="77777777" w:rsidR="00DE3E06" w:rsidRPr="0079179D" w:rsidRDefault="00DE3E06" w:rsidP="006E17B8">
            <w:pPr>
              <w:spacing w:after="0" w:line="240" w:lineRule="auto"/>
              <w:rPr>
                <w:rFonts w:ascii="Times New Roman" w:hAnsi="Times New Roman"/>
                <w:color w:val="000000"/>
                <w:sz w:val="24"/>
                <w:szCs w:val="24"/>
              </w:rPr>
            </w:pPr>
          </w:p>
        </w:tc>
        <w:tc>
          <w:tcPr>
            <w:tcW w:w="2016" w:type="dxa"/>
            <w:tcBorders>
              <w:top w:val="nil"/>
              <w:left w:val="nil"/>
              <w:bottom w:val="nil"/>
              <w:right w:val="nil"/>
            </w:tcBorders>
            <w:hideMark/>
          </w:tcPr>
          <w:p w14:paraId="691452CA" w14:textId="778BEE1A" w:rsidR="00DE3E06" w:rsidRPr="0079179D" w:rsidRDefault="001A1C5B" w:rsidP="006E17B8">
            <w:pPr>
              <w:spacing w:after="0" w:line="240" w:lineRule="auto"/>
              <w:jc w:val="center"/>
              <w:rPr>
                <w:rFonts w:ascii="Times New Roman" w:hAnsi="Times New Roman"/>
                <w:color w:val="000000"/>
                <w:sz w:val="24"/>
                <w:szCs w:val="24"/>
              </w:rPr>
            </w:pPr>
            <w:r>
              <w:rPr>
                <w:rFonts w:ascii="Times New Roman" w:hAnsi="Times New Roman" w:cs="Times New Roman"/>
                <w:sz w:val="24"/>
                <w:szCs w:val="24"/>
              </w:rPr>
              <w:t xml:space="preserve"> </w:t>
            </w:r>
            <w:r w:rsidR="00DE3E06">
              <w:rPr>
                <w:rFonts w:ascii="Times New Roman" w:hAnsi="Times New Roman" w:cs="Times New Roman"/>
                <w:sz w:val="24"/>
                <w:szCs w:val="24"/>
              </w:rPr>
              <w:t>-0.023***</w:t>
            </w:r>
          </w:p>
        </w:tc>
        <w:tc>
          <w:tcPr>
            <w:tcW w:w="1660" w:type="dxa"/>
            <w:tcBorders>
              <w:top w:val="nil"/>
              <w:left w:val="nil"/>
              <w:bottom w:val="nil"/>
              <w:right w:val="nil"/>
            </w:tcBorders>
            <w:vAlign w:val="center"/>
            <w:hideMark/>
          </w:tcPr>
          <w:p w14:paraId="4BB90FBC" w14:textId="77777777" w:rsidR="00DE3E06" w:rsidRPr="0079179D" w:rsidRDefault="00DE3E06" w:rsidP="006E17B8">
            <w:pPr>
              <w:spacing w:after="0" w:line="240" w:lineRule="auto"/>
              <w:jc w:val="center"/>
              <w:rPr>
                <w:rFonts w:ascii="Times New Roman" w:hAnsi="Times New Roman"/>
                <w:color w:val="000000"/>
                <w:sz w:val="24"/>
                <w:szCs w:val="24"/>
              </w:rPr>
            </w:pPr>
            <w:r>
              <w:rPr>
                <w:rFonts w:ascii="Times New Roman" w:hAnsi="Times New Roman" w:cs="Times New Roman"/>
                <w:sz w:val="24"/>
                <w:szCs w:val="24"/>
              </w:rPr>
              <w:t>(-3.07)</w:t>
            </w:r>
          </w:p>
        </w:tc>
      </w:tr>
      <w:tr w:rsidR="00DE3E06" w:rsidRPr="0079179D" w14:paraId="04A6EE35" w14:textId="77777777" w:rsidTr="006E17B8">
        <w:trPr>
          <w:trHeight w:val="315"/>
          <w:jc w:val="center"/>
        </w:trPr>
        <w:tc>
          <w:tcPr>
            <w:tcW w:w="1902" w:type="dxa"/>
            <w:tcBorders>
              <w:top w:val="nil"/>
              <w:left w:val="nil"/>
              <w:bottom w:val="nil"/>
              <w:right w:val="nil"/>
            </w:tcBorders>
            <w:vAlign w:val="center"/>
            <w:hideMark/>
          </w:tcPr>
          <w:p w14:paraId="561A5B6D" w14:textId="77777777" w:rsidR="00DE3E06" w:rsidRPr="0079179D" w:rsidRDefault="00DE3E06" w:rsidP="006E17B8">
            <w:pPr>
              <w:spacing w:after="0" w:line="240" w:lineRule="auto"/>
              <w:jc w:val="center"/>
              <w:rPr>
                <w:rFonts w:ascii="Times New Roman" w:hAnsi="Times New Roman"/>
                <w:color w:val="000000"/>
                <w:sz w:val="24"/>
                <w:szCs w:val="24"/>
              </w:rPr>
            </w:pPr>
          </w:p>
        </w:tc>
        <w:tc>
          <w:tcPr>
            <w:tcW w:w="322" w:type="dxa"/>
            <w:tcBorders>
              <w:top w:val="nil"/>
              <w:left w:val="nil"/>
              <w:bottom w:val="nil"/>
              <w:right w:val="nil"/>
            </w:tcBorders>
            <w:vAlign w:val="center"/>
            <w:hideMark/>
          </w:tcPr>
          <w:p w14:paraId="4C3259EF" w14:textId="77777777" w:rsidR="00DE3E06" w:rsidRPr="0079179D" w:rsidRDefault="00DE3E06" w:rsidP="006E17B8">
            <w:pPr>
              <w:spacing w:after="0" w:line="240" w:lineRule="auto"/>
              <w:rPr>
                <w:rFonts w:ascii="Times New Roman" w:hAnsi="Times New Roman"/>
                <w:sz w:val="20"/>
                <w:szCs w:val="20"/>
              </w:rPr>
            </w:pPr>
          </w:p>
        </w:tc>
        <w:tc>
          <w:tcPr>
            <w:tcW w:w="2016" w:type="dxa"/>
            <w:tcBorders>
              <w:top w:val="nil"/>
              <w:left w:val="nil"/>
              <w:bottom w:val="nil"/>
              <w:right w:val="nil"/>
            </w:tcBorders>
            <w:noWrap/>
            <w:vAlign w:val="bottom"/>
            <w:hideMark/>
          </w:tcPr>
          <w:p w14:paraId="42B110E6" w14:textId="77777777" w:rsidR="00DE3E06" w:rsidRPr="0079179D" w:rsidRDefault="00DE3E06" w:rsidP="006E17B8">
            <w:pPr>
              <w:spacing w:after="0" w:line="240" w:lineRule="auto"/>
              <w:jc w:val="center"/>
              <w:rPr>
                <w:rFonts w:ascii="Times New Roman" w:hAnsi="Times New Roman"/>
                <w:sz w:val="20"/>
                <w:szCs w:val="20"/>
              </w:rPr>
            </w:pPr>
          </w:p>
        </w:tc>
        <w:tc>
          <w:tcPr>
            <w:tcW w:w="1660" w:type="dxa"/>
            <w:tcBorders>
              <w:top w:val="nil"/>
              <w:left w:val="nil"/>
              <w:bottom w:val="nil"/>
              <w:right w:val="nil"/>
            </w:tcBorders>
            <w:noWrap/>
            <w:vAlign w:val="bottom"/>
            <w:hideMark/>
          </w:tcPr>
          <w:p w14:paraId="1DE210B0" w14:textId="77777777" w:rsidR="00DE3E06" w:rsidRPr="0079179D" w:rsidRDefault="00DE3E06" w:rsidP="006E17B8">
            <w:pPr>
              <w:spacing w:after="0" w:line="240" w:lineRule="auto"/>
              <w:rPr>
                <w:rFonts w:ascii="Times New Roman" w:hAnsi="Times New Roman"/>
                <w:sz w:val="20"/>
                <w:szCs w:val="20"/>
              </w:rPr>
            </w:pPr>
          </w:p>
        </w:tc>
      </w:tr>
      <w:tr w:rsidR="00DE3E06" w:rsidRPr="0079179D" w14:paraId="706FF8AA" w14:textId="77777777" w:rsidTr="006E17B8">
        <w:trPr>
          <w:trHeight w:val="315"/>
          <w:jc w:val="center"/>
        </w:trPr>
        <w:tc>
          <w:tcPr>
            <w:tcW w:w="1902" w:type="dxa"/>
            <w:tcBorders>
              <w:top w:val="nil"/>
              <w:left w:val="nil"/>
              <w:bottom w:val="nil"/>
              <w:right w:val="nil"/>
            </w:tcBorders>
            <w:vAlign w:val="center"/>
            <w:hideMark/>
          </w:tcPr>
          <w:p w14:paraId="130D188F" w14:textId="77777777" w:rsidR="00DE3E06" w:rsidRPr="0079179D" w:rsidRDefault="00DE3E06" w:rsidP="006E17B8">
            <w:pPr>
              <w:spacing w:after="0" w:line="240" w:lineRule="auto"/>
              <w:rPr>
                <w:rFonts w:ascii="Times New Roman" w:hAnsi="Times New Roman"/>
                <w:color w:val="000000"/>
                <w:sz w:val="24"/>
                <w:szCs w:val="24"/>
              </w:rPr>
            </w:pPr>
            <w:r w:rsidRPr="0079179D">
              <w:rPr>
                <w:rFonts w:ascii="Times New Roman" w:hAnsi="Times New Roman"/>
                <w:color w:val="000000"/>
                <w:sz w:val="24"/>
                <w:szCs w:val="24"/>
              </w:rPr>
              <w:t>STATE</w:t>
            </w:r>
          </w:p>
        </w:tc>
        <w:tc>
          <w:tcPr>
            <w:tcW w:w="322" w:type="dxa"/>
            <w:tcBorders>
              <w:top w:val="nil"/>
              <w:left w:val="nil"/>
              <w:bottom w:val="nil"/>
              <w:right w:val="nil"/>
            </w:tcBorders>
            <w:vAlign w:val="center"/>
            <w:hideMark/>
          </w:tcPr>
          <w:p w14:paraId="7873ED5A" w14:textId="77777777" w:rsidR="00DE3E06" w:rsidRPr="0079179D" w:rsidRDefault="00DE3E06" w:rsidP="006E17B8">
            <w:pPr>
              <w:spacing w:after="0" w:line="240" w:lineRule="auto"/>
              <w:rPr>
                <w:rFonts w:ascii="Times New Roman" w:hAnsi="Times New Roman"/>
                <w:color w:val="000000"/>
                <w:sz w:val="24"/>
                <w:szCs w:val="24"/>
              </w:rPr>
            </w:pPr>
          </w:p>
        </w:tc>
        <w:tc>
          <w:tcPr>
            <w:tcW w:w="2016" w:type="dxa"/>
            <w:tcBorders>
              <w:top w:val="nil"/>
              <w:left w:val="nil"/>
              <w:bottom w:val="nil"/>
              <w:right w:val="nil"/>
            </w:tcBorders>
            <w:vAlign w:val="center"/>
            <w:hideMark/>
          </w:tcPr>
          <w:p w14:paraId="126599DF" w14:textId="77777777" w:rsidR="00DE3E06" w:rsidRPr="0079179D" w:rsidRDefault="00DE3E06" w:rsidP="006E17B8">
            <w:pPr>
              <w:spacing w:after="0" w:line="240" w:lineRule="auto"/>
              <w:jc w:val="center"/>
              <w:rPr>
                <w:rFonts w:ascii="Times New Roman" w:hAnsi="Times New Roman"/>
                <w:color w:val="000000"/>
                <w:sz w:val="24"/>
                <w:szCs w:val="24"/>
              </w:rPr>
            </w:pPr>
            <w:r>
              <w:rPr>
                <w:rFonts w:ascii="Times New Roman" w:hAnsi="Times New Roman" w:cs="Times New Roman"/>
                <w:sz w:val="24"/>
                <w:szCs w:val="24"/>
              </w:rPr>
              <w:t>-0.822***</w:t>
            </w:r>
          </w:p>
        </w:tc>
        <w:tc>
          <w:tcPr>
            <w:tcW w:w="1660" w:type="dxa"/>
            <w:tcBorders>
              <w:top w:val="nil"/>
              <w:left w:val="nil"/>
              <w:bottom w:val="nil"/>
              <w:right w:val="nil"/>
            </w:tcBorders>
            <w:vAlign w:val="center"/>
            <w:hideMark/>
          </w:tcPr>
          <w:p w14:paraId="5ECCC35F" w14:textId="77777777" w:rsidR="00DE3E06" w:rsidRPr="0079179D" w:rsidRDefault="00DE3E06" w:rsidP="006E17B8">
            <w:pPr>
              <w:spacing w:after="0" w:line="240" w:lineRule="auto"/>
              <w:jc w:val="center"/>
              <w:rPr>
                <w:rFonts w:ascii="Times New Roman" w:hAnsi="Times New Roman"/>
                <w:color w:val="000000"/>
                <w:sz w:val="24"/>
                <w:szCs w:val="24"/>
              </w:rPr>
            </w:pPr>
            <w:r>
              <w:rPr>
                <w:rFonts w:ascii="Times New Roman" w:hAnsi="Times New Roman" w:cs="Times New Roman"/>
                <w:sz w:val="24"/>
                <w:szCs w:val="24"/>
              </w:rPr>
              <w:t>(-3.72)</w:t>
            </w:r>
          </w:p>
        </w:tc>
      </w:tr>
      <w:tr w:rsidR="00DE3E06" w:rsidRPr="0079179D" w14:paraId="0C129067" w14:textId="77777777" w:rsidTr="006E17B8">
        <w:trPr>
          <w:trHeight w:val="315"/>
          <w:jc w:val="center"/>
        </w:trPr>
        <w:tc>
          <w:tcPr>
            <w:tcW w:w="1902" w:type="dxa"/>
            <w:tcBorders>
              <w:top w:val="nil"/>
              <w:left w:val="nil"/>
              <w:bottom w:val="nil"/>
              <w:right w:val="nil"/>
            </w:tcBorders>
            <w:vAlign w:val="center"/>
            <w:hideMark/>
          </w:tcPr>
          <w:p w14:paraId="12A373D8" w14:textId="77777777" w:rsidR="00DE3E06" w:rsidRPr="0079179D" w:rsidRDefault="00DE3E06" w:rsidP="006E17B8">
            <w:pPr>
              <w:spacing w:after="0" w:line="240" w:lineRule="auto"/>
              <w:jc w:val="center"/>
              <w:rPr>
                <w:rFonts w:ascii="Times New Roman" w:hAnsi="Times New Roman"/>
                <w:color w:val="000000"/>
                <w:sz w:val="24"/>
                <w:szCs w:val="24"/>
              </w:rPr>
            </w:pPr>
          </w:p>
        </w:tc>
        <w:tc>
          <w:tcPr>
            <w:tcW w:w="322" w:type="dxa"/>
            <w:tcBorders>
              <w:top w:val="nil"/>
              <w:left w:val="nil"/>
              <w:bottom w:val="nil"/>
              <w:right w:val="nil"/>
            </w:tcBorders>
            <w:vAlign w:val="center"/>
            <w:hideMark/>
          </w:tcPr>
          <w:p w14:paraId="239FD01B" w14:textId="77777777" w:rsidR="00DE3E06" w:rsidRPr="0079179D" w:rsidRDefault="00DE3E06" w:rsidP="006E17B8">
            <w:pPr>
              <w:spacing w:after="0" w:line="240" w:lineRule="auto"/>
              <w:rPr>
                <w:rFonts w:ascii="Times New Roman" w:hAnsi="Times New Roman"/>
                <w:sz w:val="20"/>
                <w:szCs w:val="20"/>
              </w:rPr>
            </w:pPr>
          </w:p>
        </w:tc>
        <w:tc>
          <w:tcPr>
            <w:tcW w:w="2016" w:type="dxa"/>
            <w:tcBorders>
              <w:top w:val="nil"/>
              <w:left w:val="nil"/>
              <w:bottom w:val="nil"/>
              <w:right w:val="nil"/>
            </w:tcBorders>
            <w:noWrap/>
            <w:vAlign w:val="bottom"/>
            <w:hideMark/>
          </w:tcPr>
          <w:p w14:paraId="44FF5CD9" w14:textId="77777777" w:rsidR="00DE3E06" w:rsidRPr="0079179D" w:rsidRDefault="00DE3E06" w:rsidP="006E17B8">
            <w:pPr>
              <w:spacing w:after="0" w:line="240" w:lineRule="auto"/>
              <w:jc w:val="center"/>
              <w:rPr>
                <w:rFonts w:ascii="Times New Roman" w:hAnsi="Times New Roman"/>
                <w:sz w:val="20"/>
                <w:szCs w:val="20"/>
              </w:rPr>
            </w:pPr>
          </w:p>
        </w:tc>
        <w:tc>
          <w:tcPr>
            <w:tcW w:w="1660" w:type="dxa"/>
            <w:tcBorders>
              <w:top w:val="nil"/>
              <w:left w:val="nil"/>
              <w:bottom w:val="nil"/>
              <w:right w:val="nil"/>
            </w:tcBorders>
            <w:noWrap/>
            <w:vAlign w:val="bottom"/>
            <w:hideMark/>
          </w:tcPr>
          <w:p w14:paraId="1399BDC9" w14:textId="77777777" w:rsidR="00DE3E06" w:rsidRPr="0079179D" w:rsidRDefault="00DE3E06" w:rsidP="006E17B8">
            <w:pPr>
              <w:spacing w:after="0" w:line="240" w:lineRule="auto"/>
              <w:rPr>
                <w:rFonts w:ascii="Times New Roman" w:hAnsi="Times New Roman"/>
                <w:sz w:val="20"/>
                <w:szCs w:val="20"/>
              </w:rPr>
            </w:pPr>
          </w:p>
        </w:tc>
      </w:tr>
      <w:tr w:rsidR="00DE3E06" w:rsidRPr="0079179D" w14:paraId="33EE787A" w14:textId="77777777" w:rsidTr="006E17B8">
        <w:trPr>
          <w:trHeight w:val="315"/>
          <w:jc w:val="center"/>
        </w:trPr>
        <w:tc>
          <w:tcPr>
            <w:tcW w:w="1902" w:type="dxa"/>
            <w:tcBorders>
              <w:top w:val="nil"/>
              <w:left w:val="nil"/>
              <w:bottom w:val="nil"/>
              <w:right w:val="nil"/>
            </w:tcBorders>
            <w:vAlign w:val="center"/>
            <w:hideMark/>
          </w:tcPr>
          <w:p w14:paraId="3F3A84BA" w14:textId="77777777" w:rsidR="00DE3E06" w:rsidRPr="0079179D" w:rsidRDefault="00DE3E06" w:rsidP="006E17B8">
            <w:pPr>
              <w:spacing w:after="0" w:line="240" w:lineRule="auto"/>
              <w:rPr>
                <w:rFonts w:ascii="Times New Roman" w:hAnsi="Times New Roman"/>
                <w:color w:val="000000"/>
                <w:sz w:val="24"/>
                <w:szCs w:val="24"/>
              </w:rPr>
            </w:pPr>
            <w:r>
              <w:rPr>
                <w:rFonts w:ascii="Times New Roman" w:hAnsi="Times New Roman"/>
                <w:color w:val="000000"/>
                <w:sz w:val="24"/>
                <w:szCs w:val="24"/>
              </w:rPr>
              <w:t>CAP%</w:t>
            </w:r>
          </w:p>
        </w:tc>
        <w:tc>
          <w:tcPr>
            <w:tcW w:w="322" w:type="dxa"/>
            <w:tcBorders>
              <w:top w:val="nil"/>
              <w:left w:val="nil"/>
              <w:bottom w:val="nil"/>
              <w:right w:val="nil"/>
            </w:tcBorders>
            <w:vAlign w:val="center"/>
            <w:hideMark/>
          </w:tcPr>
          <w:p w14:paraId="4302AE15" w14:textId="77777777" w:rsidR="00DE3E06" w:rsidRPr="0079179D" w:rsidRDefault="00DE3E06" w:rsidP="006E17B8">
            <w:pPr>
              <w:spacing w:after="0" w:line="240" w:lineRule="auto"/>
              <w:rPr>
                <w:rFonts w:ascii="Times New Roman" w:hAnsi="Times New Roman"/>
                <w:color w:val="000000"/>
                <w:sz w:val="24"/>
                <w:szCs w:val="24"/>
              </w:rPr>
            </w:pPr>
          </w:p>
        </w:tc>
        <w:tc>
          <w:tcPr>
            <w:tcW w:w="2016" w:type="dxa"/>
            <w:tcBorders>
              <w:top w:val="nil"/>
              <w:left w:val="nil"/>
              <w:bottom w:val="nil"/>
              <w:right w:val="nil"/>
            </w:tcBorders>
            <w:vAlign w:val="center"/>
            <w:hideMark/>
          </w:tcPr>
          <w:p w14:paraId="58DD45A7" w14:textId="77777777" w:rsidR="00DE3E06" w:rsidRPr="0079179D" w:rsidRDefault="00DE3E06" w:rsidP="006E17B8">
            <w:pPr>
              <w:spacing w:after="0" w:line="240" w:lineRule="auto"/>
              <w:jc w:val="center"/>
              <w:rPr>
                <w:rFonts w:ascii="Times New Roman" w:hAnsi="Times New Roman"/>
                <w:color w:val="000000"/>
                <w:sz w:val="24"/>
                <w:szCs w:val="24"/>
              </w:rPr>
            </w:pPr>
            <w:r>
              <w:rPr>
                <w:rFonts w:ascii="Times New Roman" w:hAnsi="Times New Roman" w:cs="Times New Roman"/>
                <w:sz w:val="24"/>
                <w:szCs w:val="24"/>
              </w:rPr>
              <w:t>0.033***</w:t>
            </w:r>
          </w:p>
        </w:tc>
        <w:tc>
          <w:tcPr>
            <w:tcW w:w="1660" w:type="dxa"/>
            <w:tcBorders>
              <w:top w:val="nil"/>
              <w:left w:val="nil"/>
              <w:bottom w:val="nil"/>
              <w:right w:val="nil"/>
            </w:tcBorders>
            <w:vAlign w:val="center"/>
            <w:hideMark/>
          </w:tcPr>
          <w:p w14:paraId="3BC5F255" w14:textId="77777777" w:rsidR="00DE3E06" w:rsidRPr="0079179D" w:rsidRDefault="00DE3E06" w:rsidP="006E17B8">
            <w:pPr>
              <w:spacing w:after="0" w:line="240" w:lineRule="auto"/>
              <w:jc w:val="center"/>
              <w:rPr>
                <w:rFonts w:ascii="Times New Roman" w:hAnsi="Times New Roman"/>
                <w:color w:val="000000"/>
                <w:sz w:val="24"/>
                <w:szCs w:val="24"/>
              </w:rPr>
            </w:pPr>
            <w:r>
              <w:rPr>
                <w:rFonts w:ascii="Times New Roman" w:hAnsi="Times New Roman" w:cs="Times New Roman"/>
                <w:sz w:val="24"/>
                <w:szCs w:val="24"/>
              </w:rPr>
              <w:t>(3.02)</w:t>
            </w:r>
          </w:p>
        </w:tc>
      </w:tr>
      <w:tr w:rsidR="00DE3E06" w:rsidRPr="0079179D" w14:paraId="30D53F75" w14:textId="77777777" w:rsidTr="006E17B8">
        <w:trPr>
          <w:trHeight w:val="315"/>
          <w:jc w:val="center"/>
        </w:trPr>
        <w:tc>
          <w:tcPr>
            <w:tcW w:w="1902" w:type="dxa"/>
            <w:tcBorders>
              <w:top w:val="nil"/>
              <w:left w:val="nil"/>
              <w:bottom w:val="nil"/>
              <w:right w:val="nil"/>
            </w:tcBorders>
            <w:vAlign w:val="center"/>
            <w:hideMark/>
          </w:tcPr>
          <w:p w14:paraId="5E90B2BD" w14:textId="77777777" w:rsidR="00DE3E06" w:rsidRPr="0079179D" w:rsidRDefault="00DE3E06" w:rsidP="006E17B8">
            <w:pPr>
              <w:spacing w:after="0" w:line="240" w:lineRule="auto"/>
              <w:jc w:val="center"/>
              <w:rPr>
                <w:rFonts w:ascii="Times New Roman" w:hAnsi="Times New Roman"/>
                <w:color w:val="000000"/>
                <w:sz w:val="24"/>
                <w:szCs w:val="24"/>
              </w:rPr>
            </w:pPr>
          </w:p>
        </w:tc>
        <w:tc>
          <w:tcPr>
            <w:tcW w:w="322" w:type="dxa"/>
            <w:tcBorders>
              <w:top w:val="nil"/>
              <w:left w:val="nil"/>
              <w:bottom w:val="nil"/>
              <w:right w:val="nil"/>
            </w:tcBorders>
            <w:vAlign w:val="center"/>
            <w:hideMark/>
          </w:tcPr>
          <w:p w14:paraId="7025F55E" w14:textId="77777777" w:rsidR="00DE3E06" w:rsidRPr="0079179D" w:rsidRDefault="00DE3E06" w:rsidP="006E17B8">
            <w:pPr>
              <w:spacing w:after="0" w:line="240" w:lineRule="auto"/>
              <w:rPr>
                <w:rFonts w:ascii="Times New Roman" w:hAnsi="Times New Roman"/>
                <w:sz w:val="20"/>
                <w:szCs w:val="20"/>
              </w:rPr>
            </w:pPr>
          </w:p>
        </w:tc>
        <w:tc>
          <w:tcPr>
            <w:tcW w:w="2016" w:type="dxa"/>
            <w:tcBorders>
              <w:top w:val="nil"/>
              <w:left w:val="nil"/>
              <w:bottom w:val="nil"/>
              <w:right w:val="nil"/>
            </w:tcBorders>
            <w:vAlign w:val="center"/>
            <w:hideMark/>
          </w:tcPr>
          <w:p w14:paraId="7B4308E3" w14:textId="77777777" w:rsidR="00DE3E06" w:rsidRPr="0079179D" w:rsidRDefault="00DE3E06" w:rsidP="006E17B8">
            <w:pPr>
              <w:spacing w:after="0" w:line="240" w:lineRule="auto"/>
              <w:rPr>
                <w:rFonts w:ascii="Times New Roman" w:hAnsi="Times New Roman"/>
                <w:sz w:val="20"/>
                <w:szCs w:val="20"/>
              </w:rPr>
            </w:pPr>
          </w:p>
        </w:tc>
        <w:tc>
          <w:tcPr>
            <w:tcW w:w="1660" w:type="dxa"/>
            <w:tcBorders>
              <w:top w:val="nil"/>
              <w:left w:val="nil"/>
              <w:bottom w:val="nil"/>
              <w:right w:val="nil"/>
            </w:tcBorders>
            <w:noWrap/>
            <w:vAlign w:val="bottom"/>
            <w:hideMark/>
          </w:tcPr>
          <w:p w14:paraId="55B8E27A" w14:textId="77777777" w:rsidR="00DE3E06" w:rsidRPr="0079179D" w:rsidRDefault="00DE3E06" w:rsidP="006E17B8">
            <w:pPr>
              <w:spacing w:after="0" w:line="240" w:lineRule="auto"/>
              <w:rPr>
                <w:rFonts w:ascii="Times New Roman" w:hAnsi="Times New Roman"/>
                <w:sz w:val="20"/>
                <w:szCs w:val="20"/>
              </w:rPr>
            </w:pPr>
          </w:p>
        </w:tc>
      </w:tr>
      <w:tr w:rsidR="00DE3E06" w:rsidRPr="0079179D" w14:paraId="5EE6CF47" w14:textId="77777777" w:rsidTr="006E17B8">
        <w:trPr>
          <w:trHeight w:val="315"/>
          <w:jc w:val="center"/>
        </w:trPr>
        <w:tc>
          <w:tcPr>
            <w:tcW w:w="1902" w:type="dxa"/>
            <w:tcBorders>
              <w:top w:val="nil"/>
              <w:left w:val="nil"/>
              <w:bottom w:val="nil"/>
              <w:right w:val="nil"/>
            </w:tcBorders>
            <w:vAlign w:val="center"/>
          </w:tcPr>
          <w:p w14:paraId="7FF03CDF" w14:textId="77777777" w:rsidR="00DE3E06" w:rsidRPr="0079179D" w:rsidRDefault="00DE3E06" w:rsidP="006E17B8">
            <w:pPr>
              <w:spacing w:after="0" w:line="240" w:lineRule="auto"/>
              <w:rPr>
                <w:rFonts w:ascii="Times New Roman" w:hAnsi="Times New Roman"/>
                <w:color w:val="000000"/>
                <w:sz w:val="24"/>
                <w:szCs w:val="24"/>
              </w:rPr>
            </w:pPr>
            <w:r>
              <w:rPr>
                <w:rFonts w:ascii="Times New Roman" w:hAnsi="Times New Roman"/>
                <w:color w:val="000000"/>
                <w:sz w:val="24"/>
                <w:szCs w:val="24"/>
              </w:rPr>
              <w:t>Industry FE</w:t>
            </w:r>
          </w:p>
        </w:tc>
        <w:tc>
          <w:tcPr>
            <w:tcW w:w="322" w:type="dxa"/>
            <w:tcBorders>
              <w:top w:val="nil"/>
              <w:left w:val="nil"/>
              <w:bottom w:val="nil"/>
              <w:right w:val="nil"/>
            </w:tcBorders>
            <w:vAlign w:val="center"/>
          </w:tcPr>
          <w:p w14:paraId="3E5C4141" w14:textId="77777777" w:rsidR="00DE3E06" w:rsidRPr="0079179D" w:rsidRDefault="00DE3E06" w:rsidP="006E17B8">
            <w:pPr>
              <w:spacing w:after="0" w:line="240" w:lineRule="auto"/>
              <w:rPr>
                <w:rFonts w:ascii="Times New Roman" w:hAnsi="Times New Roman"/>
                <w:sz w:val="20"/>
                <w:szCs w:val="20"/>
              </w:rPr>
            </w:pPr>
          </w:p>
        </w:tc>
        <w:tc>
          <w:tcPr>
            <w:tcW w:w="3676" w:type="dxa"/>
            <w:gridSpan w:val="2"/>
            <w:tcBorders>
              <w:top w:val="nil"/>
              <w:left w:val="nil"/>
              <w:bottom w:val="nil"/>
              <w:right w:val="nil"/>
            </w:tcBorders>
            <w:vAlign w:val="center"/>
          </w:tcPr>
          <w:p w14:paraId="74403965" w14:textId="77777777" w:rsidR="00DE3E06" w:rsidRPr="0079179D" w:rsidRDefault="00DE3E06" w:rsidP="006E17B8">
            <w:pPr>
              <w:spacing w:after="0" w:line="240" w:lineRule="auto"/>
              <w:jc w:val="center"/>
              <w:rPr>
                <w:rFonts w:ascii="Times New Roman" w:hAnsi="Times New Roman"/>
                <w:sz w:val="20"/>
                <w:szCs w:val="20"/>
              </w:rPr>
            </w:pPr>
            <w:r w:rsidRPr="00263415">
              <w:rPr>
                <w:rFonts w:ascii="Times New Roman" w:hAnsi="Times New Roman"/>
                <w:sz w:val="24"/>
                <w:szCs w:val="24"/>
              </w:rPr>
              <w:t>Included</w:t>
            </w:r>
          </w:p>
        </w:tc>
      </w:tr>
      <w:tr w:rsidR="00DE3E06" w:rsidRPr="0079179D" w14:paraId="6886F438" w14:textId="77777777" w:rsidTr="006E17B8">
        <w:trPr>
          <w:trHeight w:val="315"/>
          <w:jc w:val="center"/>
        </w:trPr>
        <w:tc>
          <w:tcPr>
            <w:tcW w:w="1902" w:type="dxa"/>
            <w:tcBorders>
              <w:top w:val="nil"/>
              <w:left w:val="nil"/>
              <w:bottom w:val="nil"/>
              <w:right w:val="nil"/>
            </w:tcBorders>
            <w:vAlign w:val="center"/>
          </w:tcPr>
          <w:p w14:paraId="57AAACBC" w14:textId="77777777" w:rsidR="00DE3E06" w:rsidRPr="0079179D" w:rsidRDefault="00DE3E06" w:rsidP="006E17B8">
            <w:pPr>
              <w:spacing w:after="0" w:line="240" w:lineRule="auto"/>
              <w:rPr>
                <w:rFonts w:ascii="Times New Roman" w:hAnsi="Times New Roman"/>
                <w:color w:val="000000"/>
                <w:sz w:val="24"/>
                <w:szCs w:val="24"/>
              </w:rPr>
            </w:pPr>
            <w:r>
              <w:rPr>
                <w:rFonts w:ascii="Times New Roman" w:hAnsi="Times New Roman"/>
                <w:color w:val="000000"/>
                <w:sz w:val="24"/>
                <w:szCs w:val="24"/>
              </w:rPr>
              <w:t>Year FE</w:t>
            </w:r>
          </w:p>
        </w:tc>
        <w:tc>
          <w:tcPr>
            <w:tcW w:w="322" w:type="dxa"/>
            <w:tcBorders>
              <w:top w:val="nil"/>
              <w:left w:val="nil"/>
              <w:bottom w:val="nil"/>
              <w:right w:val="nil"/>
            </w:tcBorders>
            <w:vAlign w:val="center"/>
          </w:tcPr>
          <w:p w14:paraId="49B18F40" w14:textId="77777777" w:rsidR="00DE3E06" w:rsidRPr="0079179D" w:rsidRDefault="00DE3E06" w:rsidP="006E17B8">
            <w:pPr>
              <w:spacing w:after="0" w:line="240" w:lineRule="auto"/>
              <w:rPr>
                <w:rFonts w:ascii="Times New Roman" w:hAnsi="Times New Roman"/>
                <w:sz w:val="20"/>
                <w:szCs w:val="20"/>
              </w:rPr>
            </w:pPr>
          </w:p>
        </w:tc>
        <w:tc>
          <w:tcPr>
            <w:tcW w:w="3676" w:type="dxa"/>
            <w:gridSpan w:val="2"/>
            <w:tcBorders>
              <w:top w:val="nil"/>
              <w:left w:val="nil"/>
              <w:bottom w:val="nil"/>
              <w:right w:val="nil"/>
            </w:tcBorders>
            <w:vAlign w:val="center"/>
          </w:tcPr>
          <w:p w14:paraId="3BD153C1" w14:textId="77777777" w:rsidR="00DE3E06" w:rsidRPr="0079179D" w:rsidRDefault="00DE3E06" w:rsidP="006E17B8">
            <w:pPr>
              <w:spacing w:after="0" w:line="240" w:lineRule="auto"/>
              <w:jc w:val="center"/>
              <w:rPr>
                <w:rFonts w:ascii="Times New Roman" w:hAnsi="Times New Roman"/>
                <w:sz w:val="20"/>
                <w:szCs w:val="20"/>
              </w:rPr>
            </w:pPr>
            <w:r w:rsidRPr="00263415">
              <w:rPr>
                <w:rFonts w:ascii="Times New Roman" w:hAnsi="Times New Roman"/>
                <w:sz w:val="24"/>
                <w:szCs w:val="24"/>
              </w:rPr>
              <w:t>Included</w:t>
            </w:r>
          </w:p>
        </w:tc>
      </w:tr>
      <w:tr w:rsidR="00DE3E06" w:rsidRPr="0079179D" w14:paraId="3B4388B2" w14:textId="77777777" w:rsidTr="006E17B8">
        <w:trPr>
          <w:trHeight w:val="315"/>
          <w:jc w:val="center"/>
        </w:trPr>
        <w:tc>
          <w:tcPr>
            <w:tcW w:w="1902" w:type="dxa"/>
            <w:tcBorders>
              <w:top w:val="nil"/>
              <w:left w:val="nil"/>
              <w:bottom w:val="nil"/>
              <w:right w:val="nil"/>
            </w:tcBorders>
            <w:vAlign w:val="center"/>
            <w:hideMark/>
          </w:tcPr>
          <w:p w14:paraId="1C53F1C5" w14:textId="77777777" w:rsidR="00DE3E06" w:rsidRPr="0079179D" w:rsidRDefault="00DE3E06" w:rsidP="006E17B8">
            <w:pPr>
              <w:spacing w:after="0" w:line="240" w:lineRule="auto"/>
              <w:rPr>
                <w:rFonts w:ascii="Times New Roman" w:hAnsi="Times New Roman"/>
                <w:color w:val="000000"/>
                <w:sz w:val="24"/>
                <w:szCs w:val="24"/>
              </w:rPr>
            </w:pPr>
            <w:r w:rsidRPr="0079179D">
              <w:rPr>
                <w:rFonts w:ascii="Times New Roman" w:hAnsi="Times New Roman"/>
                <w:color w:val="000000"/>
                <w:sz w:val="24"/>
                <w:szCs w:val="24"/>
              </w:rPr>
              <w:t>Wald chi square</w:t>
            </w:r>
          </w:p>
        </w:tc>
        <w:tc>
          <w:tcPr>
            <w:tcW w:w="322" w:type="dxa"/>
            <w:tcBorders>
              <w:top w:val="nil"/>
              <w:left w:val="nil"/>
              <w:bottom w:val="nil"/>
              <w:right w:val="nil"/>
            </w:tcBorders>
            <w:vAlign w:val="center"/>
            <w:hideMark/>
          </w:tcPr>
          <w:p w14:paraId="5B6EDBD8" w14:textId="77777777" w:rsidR="00DE3E06" w:rsidRPr="0079179D" w:rsidRDefault="00DE3E06" w:rsidP="006E17B8">
            <w:pPr>
              <w:spacing w:after="0" w:line="240" w:lineRule="auto"/>
              <w:rPr>
                <w:rFonts w:ascii="Times New Roman" w:hAnsi="Times New Roman"/>
                <w:color w:val="000000"/>
                <w:sz w:val="24"/>
                <w:szCs w:val="24"/>
              </w:rPr>
            </w:pPr>
          </w:p>
        </w:tc>
        <w:tc>
          <w:tcPr>
            <w:tcW w:w="3676" w:type="dxa"/>
            <w:gridSpan w:val="2"/>
            <w:tcBorders>
              <w:top w:val="nil"/>
              <w:left w:val="nil"/>
              <w:bottom w:val="nil"/>
              <w:right w:val="nil"/>
            </w:tcBorders>
            <w:vAlign w:val="center"/>
            <w:hideMark/>
          </w:tcPr>
          <w:p w14:paraId="46F4E009" w14:textId="77777777" w:rsidR="00DE3E06" w:rsidRPr="0079179D" w:rsidRDefault="00DE3E06" w:rsidP="006E17B8">
            <w:pPr>
              <w:spacing w:after="0" w:line="240" w:lineRule="auto"/>
              <w:jc w:val="center"/>
              <w:rPr>
                <w:rFonts w:ascii="Times New Roman" w:hAnsi="Times New Roman"/>
                <w:sz w:val="20"/>
                <w:szCs w:val="20"/>
              </w:rPr>
            </w:pPr>
            <w:r>
              <w:rPr>
                <w:rFonts w:ascii="Times New Roman" w:hAnsi="Times New Roman"/>
                <w:color w:val="000000"/>
                <w:sz w:val="24"/>
                <w:szCs w:val="24"/>
              </w:rPr>
              <w:t>90.94</w:t>
            </w:r>
          </w:p>
        </w:tc>
      </w:tr>
      <w:tr w:rsidR="00DE3E06" w:rsidRPr="0079179D" w14:paraId="2ADABC45" w14:textId="77777777" w:rsidTr="006E17B8">
        <w:trPr>
          <w:trHeight w:val="315"/>
          <w:jc w:val="center"/>
        </w:trPr>
        <w:tc>
          <w:tcPr>
            <w:tcW w:w="1902" w:type="dxa"/>
            <w:tcBorders>
              <w:top w:val="nil"/>
              <w:left w:val="nil"/>
              <w:bottom w:val="nil"/>
              <w:right w:val="nil"/>
            </w:tcBorders>
            <w:vAlign w:val="center"/>
          </w:tcPr>
          <w:p w14:paraId="28DFDCD2" w14:textId="77777777" w:rsidR="00DE3E06" w:rsidRPr="0079179D" w:rsidRDefault="00DE3E06" w:rsidP="006E17B8">
            <w:pPr>
              <w:spacing w:after="0" w:line="240" w:lineRule="auto"/>
              <w:rPr>
                <w:rFonts w:ascii="Times New Roman" w:hAnsi="Times New Roman"/>
                <w:color w:val="000000"/>
                <w:sz w:val="24"/>
                <w:szCs w:val="24"/>
              </w:rPr>
            </w:pPr>
            <w:r>
              <w:rPr>
                <w:rFonts w:ascii="Times New Roman" w:hAnsi="Times New Roman"/>
                <w:color w:val="000000"/>
                <w:sz w:val="24"/>
                <w:szCs w:val="24"/>
              </w:rPr>
              <w:t>Prob &gt; chi2</w:t>
            </w:r>
          </w:p>
        </w:tc>
        <w:tc>
          <w:tcPr>
            <w:tcW w:w="322" w:type="dxa"/>
            <w:tcBorders>
              <w:top w:val="nil"/>
              <w:left w:val="nil"/>
              <w:bottom w:val="nil"/>
              <w:right w:val="nil"/>
            </w:tcBorders>
            <w:vAlign w:val="center"/>
          </w:tcPr>
          <w:p w14:paraId="2F273B0F" w14:textId="77777777" w:rsidR="00DE3E06" w:rsidRPr="0079179D" w:rsidRDefault="00DE3E06" w:rsidP="006E17B8">
            <w:pPr>
              <w:spacing w:after="0" w:line="240" w:lineRule="auto"/>
              <w:rPr>
                <w:rFonts w:ascii="Times New Roman" w:hAnsi="Times New Roman"/>
                <w:color w:val="000000"/>
                <w:sz w:val="24"/>
                <w:szCs w:val="24"/>
              </w:rPr>
            </w:pPr>
          </w:p>
        </w:tc>
        <w:tc>
          <w:tcPr>
            <w:tcW w:w="3676" w:type="dxa"/>
            <w:gridSpan w:val="2"/>
            <w:tcBorders>
              <w:top w:val="nil"/>
              <w:left w:val="nil"/>
              <w:bottom w:val="nil"/>
              <w:right w:val="nil"/>
            </w:tcBorders>
            <w:vAlign w:val="center"/>
          </w:tcPr>
          <w:p w14:paraId="0F116EF7" w14:textId="77777777" w:rsidR="00DE3E06" w:rsidRPr="0079179D" w:rsidRDefault="00DE3E06" w:rsidP="006E17B8">
            <w:pPr>
              <w:spacing w:after="0" w:line="240" w:lineRule="auto"/>
              <w:jc w:val="center"/>
              <w:rPr>
                <w:rFonts w:ascii="Times New Roman" w:hAnsi="Times New Roman"/>
                <w:sz w:val="20"/>
                <w:szCs w:val="20"/>
              </w:rPr>
            </w:pPr>
            <w:r>
              <w:rPr>
                <w:rFonts w:ascii="Times New Roman" w:hAnsi="Times New Roman"/>
                <w:color w:val="000000"/>
                <w:sz w:val="24"/>
                <w:szCs w:val="24"/>
              </w:rPr>
              <w:t>0.0000</w:t>
            </w:r>
          </w:p>
        </w:tc>
      </w:tr>
      <w:tr w:rsidR="00DE3E06" w:rsidRPr="0079179D" w14:paraId="05F52324" w14:textId="77777777" w:rsidTr="006E17B8">
        <w:trPr>
          <w:trHeight w:val="315"/>
          <w:jc w:val="center"/>
        </w:trPr>
        <w:tc>
          <w:tcPr>
            <w:tcW w:w="1902" w:type="dxa"/>
            <w:tcBorders>
              <w:top w:val="nil"/>
              <w:left w:val="nil"/>
              <w:right w:val="nil"/>
            </w:tcBorders>
            <w:vAlign w:val="center"/>
            <w:hideMark/>
          </w:tcPr>
          <w:p w14:paraId="247561EF" w14:textId="77777777" w:rsidR="00DE3E06" w:rsidRPr="0079179D" w:rsidRDefault="00DE3E06" w:rsidP="006E17B8">
            <w:pPr>
              <w:spacing w:after="0" w:line="240" w:lineRule="auto"/>
              <w:rPr>
                <w:rFonts w:ascii="Times New Roman" w:hAnsi="Times New Roman"/>
                <w:color w:val="000000"/>
                <w:sz w:val="24"/>
                <w:szCs w:val="24"/>
              </w:rPr>
            </w:pPr>
            <w:r w:rsidRPr="0079179D">
              <w:rPr>
                <w:rFonts w:ascii="Times New Roman" w:hAnsi="Times New Roman"/>
                <w:color w:val="000000"/>
                <w:sz w:val="24"/>
                <w:szCs w:val="24"/>
              </w:rPr>
              <w:t>Pse</w:t>
            </w:r>
            <w:r>
              <w:rPr>
                <w:rFonts w:ascii="Times New Roman" w:hAnsi="Times New Roman"/>
                <w:color w:val="000000"/>
                <w:sz w:val="24"/>
                <w:szCs w:val="24"/>
              </w:rPr>
              <w:t>udo</w:t>
            </w:r>
            <w:r w:rsidRPr="0079179D">
              <w:rPr>
                <w:rFonts w:ascii="Times New Roman" w:hAnsi="Times New Roman"/>
                <w:color w:val="000000"/>
                <w:sz w:val="24"/>
                <w:szCs w:val="24"/>
              </w:rPr>
              <w:t xml:space="preserve"> R-sq</w:t>
            </w:r>
          </w:p>
        </w:tc>
        <w:tc>
          <w:tcPr>
            <w:tcW w:w="322" w:type="dxa"/>
            <w:tcBorders>
              <w:top w:val="nil"/>
              <w:left w:val="nil"/>
              <w:right w:val="nil"/>
            </w:tcBorders>
            <w:vAlign w:val="center"/>
            <w:hideMark/>
          </w:tcPr>
          <w:p w14:paraId="463AD083" w14:textId="77777777" w:rsidR="00DE3E06" w:rsidRPr="0079179D" w:rsidRDefault="00DE3E06" w:rsidP="006E17B8">
            <w:pPr>
              <w:spacing w:after="0" w:line="240" w:lineRule="auto"/>
              <w:rPr>
                <w:rFonts w:ascii="Times New Roman" w:hAnsi="Times New Roman"/>
                <w:color w:val="000000"/>
                <w:sz w:val="24"/>
                <w:szCs w:val="24"/>
              </w:rPr>
            </w:pPr>
          </w:p>
        </w:tc>
        <w:tc>
          <w:tcPr>
            <w:tcW w:w="3676" w:type="dxa"/>
            <w:gridSpan w:val="2"/>
            <w:tcBorders>
              <w:top w:val="nil"/>
              <w:left w:val="nil"/>
              <w:right w:val="nil"/>
            </w:tcBorders>
            <w:vAlign w:val="center"/>
            <w:hideMark/>
          </w:tcPr>
          <w:p w14:paraId="595DFE64" w14:textId="77777777" w:rsidR="00DE3E06" w:rsidRPr="0079179D" w:rsidRDefault="00DE3E06" w:rsidP="006E17B8">
            <w:pPr>
              <w:spacing w:after="0" w:line="240" w:lineRule="auto"/>
              <w:jc w:val="center"/>
              <w:rPr>
                <w:rFonts w:ascii="Times New Roman" w:hAnsi="Times New Roman"/>
                <w:sz w:val="20"/>
                <w:szCs w:val="20"/>
              </w:rPr>
            </w:pPr>
            <w:r w:rsidRPr="0079179D">
              <w:rPr>
                <w:rFonts w:ascii="Times New Roman" w:hAnsi="Times New Roman"/>
                <w:color w:val="000000"/>
                <w:sz w:val="24"/>
                <w:szCs w:val="24"/>
              </w:rPr>
              <w:t>0.1</w:t>
            </w:r>
            <w:r>
              <w:rPr>
                <w:rFonts w:ascii="Times New Roman" w:hAnsi="Times New Roman"/>
                <w:color w:val="000000"/>
                <w:sz w:val="24"/>
                <w:szCs w:val="24"/>
              </w:rPr>
              <w:t>7</w:t>
            </w:r>
          </w:p>
        </w:tc>
      </w:tr>
      <w:tr w:rsidR="00DE3E06" w:rsidRPr="0079179D" w14:paraId="2713D81F" w14:textId="77777777" w:rsidTr="006E17B8">
        <w:trPr>
          <w:trHeight w:val="315"/>
          <w:jc w:val="center"/>
        </w:trPr>
        <w:tc>
          <w:tcPr>
            <w:tcW w:w="1902" w:type="dxa"/>
            <w:tcBorders>
              <w:top w:val="nil"/>
              <w:left w:val="nil"/>
              <w:right w:val="nil"/>
            </w:tcBorders>
            <w:vAlign w:val="center"/>
          </w:tcPr>
          <w:p w14:paraId="2851C344" w14:textId="77777777" w:rsidR="00DE3E06" w:rsidRPr="0079179D" w:rsidRDefault="00DE3E06" w:rsidP="006E17B8">
            <w:pPr>
              <w:spacing w:after="0" w:line="240" w:lineRule="auto"/>
              <w:rPr>
                <w:rFonts w:ascii="Times New Roman" w:hAnsi="Times New Roman"/>
                <w:color w:val="000000"/>
                <w:sz w:val="24"/>
                <w:szCs w:val="24"/>
              </w:rPr>
            </w:pPr>
            <w:r>
              <w:rPr>
                <w:rFonts w:ascii="Times New Roman" w:hAnsi="Times New Roman"/>
                <w:color w:val="000000"/>
                <w:sz w:val="24"/>
                <w:szCs w:val="24"/>
              </w:rPr>
              <w:t>Observations</w:t>
            </w:r>
          </w:p>
        </w:tc>
        <w:tc>
          <w:tcPr>
            <w:tcW w:w="322" w:type="dxa"/>
            <w:tcBorders>
              <w:top w:val="nil"/>
              <w:left w:val="nil"/>
              <w:right w:val="nil"/>
            </w:tcBorders>
            <w:vAlign w:val="center"/>
          </w:tcPr>
          <w:p w14:paraId="63BCE177" w14:textId="77777777" w:rsidR="00DE3E06" w:rsidRPr="0079179D" w:rsidRDefault="00DE3E06" w:rsidP="006E17B8">
            <w:pPr>
              <w:spacing w:after="0" w:line="240" w:lineRule="auto"/>
              <w:rPr>
                <w:rFonts w:ascii="Times New Roman" w:hAnsi="Times New Roman"/>
                <w:color w:val="000000"/>
                <w:sz w:val="24"/>
                <w:szCs w:val="24"/>
              </w:rPr>
            </w:pPr>
          </w:p>
        </w:tc>
        <w:tc>
          <w:tcPr>
            <w:tcW w:w="3676" w:type="dxa"/>
            <w:gridSpan w:val="2"/>
            <w:tcBorders>
              <w:top w:val="nil"/>
              <w:left w:val="nil"/>
              <w:right w:val="nil"/>
            </w:tcBorders>
            <w:vAlign w:val="center"/>
          </w:tcPr>
          <w:p w14:paraId="6022834C" w14:textId="77777777" w:rsidR="00DE3E06" w:rsidRPr="0079179D" w:rsidRDefault="00DE3E06" w:rsidP="006E17B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1,589</w:t>
            </w:r>
          </w:p>
        </w:tc>
      </w:tr>
    </w:tbl>
    <w:p w14:paraId="53EF96EF" w14:textId="7C12FF16" w:rsidR="00DE3E06" w:rsidRDefault="00DE3E06" w:rsidP="007A6216">
      <w:pPr>
        <w:contextualSpacing/>
        <w:rPr>
          <w:rFonts w:ascii="Times New Roman" w:hAnsi="Times New Roman" w:cs="Times New Roman"/>
          <w:b/>
          <w:sz w:val="24"/>
          <w:szCs w:val="24"/>
        </w:rPr>
      </w:pPr>
    </w:p>
    <w:p w14:paraId="7FD0FA21" w14:textId="77777777" w:rsidR="00DE3E06" w:rsidRDefault="00DE3E06" w:rsidP="007A6216">
      <w:pPr>
        <w:contextualSpacing/>
        <w:rPr>
          <w:rFonts w:ascii="Times New Roman" w:hAnsi="Times New Roman" w:cs="Times New Roman"/>
          <w:b/>
          <w:sz w:val="24"/>
          <w:szCs w:val="24"/>
        </w:rPr>
      </w:pPr>
    </w:p>
    <w:p w14:paraId="7F1A6BF4" w14:textId="77777777" w:rsidR="003808C1" w:rsidRDefault="003808C1" w:rsidP="00985B47">
      <w:pPr>
        <w:pBdr>
          <w:bottom w:val="single" w:sz="12" w:space="1" w:color="auto"/>
        </w:pBdr>
        <w:rPr>
          <w:rFonts w:ascii="Times New Roman" w:hAnsi="Times New Roman" w:cs="Times New Roman"/>
          <w:b/>
          <w:sz w:val="24"/>
          <w:szCs w:val="24"/>
        </w:rPr>
      </w:pPr>
    </w:p>
    <w:p w14:paraId="33AC6714" w14:textId="77777777" w:rsidR="003808C1" w:rsidRDefault="003808C1" w:rsidP="00985B47">
      <w:pPr>
        <w:rPr>
          <w:rFonts w:ascii="Times New Roman" w:hAnsi="Times New Roman" w:cs="Times New Roman"/>
          <w:b/>
          <w:sz w:val="24"/>
          <w:szCs w:val="24"/>
          <w:vertAlign w:val="superscript"/>
        </w:rPr>
      </w:pPr>
      <w:r>
        <w:rPr>
          <w:rFonts w:ascii="Times New Roman" w:hAnsi="Times New Roman" w:cs="Times New Roman"/>
          <w:b/>
          <w:sz w:val="24"/>
          <w:szCs w:val="24"/>
          <w:vertAlign w:val="superscript"/>
        </w:rPr>
        <w:br w:type="page"/>
      </w:r>
    </w:p>
    <w:p w14:paraId="77FB326B" w14:textId="77777777" w:rsidR="003808C1" w:rsidRDefault="003808C1" w:rsidP="005D1EB6">
      <w:pPr>
        <w:contextualSpacing/>
        <w:jc w:val="center"/>
        <w:rPr>
          <w:rFonts w:ascii="Times New Roman" w:hAnsi="Times New Roman" w:cs="Times New Roman"/>
          <w:b/>
          <w:sz w:val="24"/>
          <w:szCs w:val="24"/>
        </w:rPr>
      </w:pPr>
      <w:r>
        <w:rPr>
          <w:rFonts w:ascii="Times New Roman" w:hAnsi="Times New Roman" w:cs="Times New Roman"/>
          <w:b/>
          <w:sz w:val="24"/>
          <w:szCs w:val="24"/>
        </w:rPr>
        <w:t>Table 4 - Continued</w:t>
      </w:r>
    </w:p>
    <w:p w14:paraId="7ACA3000" w14:textId="77777777" w:rsidR="003808C1" w:rsidRDefault="003808C1" w:rsidP="005D1EB6">
      <w:pPr>
        <w:pBdr>
          <w:bottom w:val="single" w:sz="12" w:space="1" w:color="auto"/>
        </w:pBdr>
        <w:contextualSpacing/>
        <w:jc w:val="center"/>
        <w:rPr>
          <w:rFonts w:ascii="Times New Roman" w:hAnsi="Times New Roman" w:cs="Times New Roman"/>
          <w:b/>
          <w:sz w:val="24"/>
          <w:szCs w:val="24"/>
        </w:rPr>
      </w:pPr>
      <w:r>
        <w:rPr>
          <w:rFonts w:ascii="Times New Roman" w:hAnsi="Times New Roman" w:cs="Times New Roman"/>
          <w:b/>
          <w:sz w:val="24"/>
          <w:szCs w:val="24"/>
        </w:rPr>
        <w:t>Determinants of the Decision to Capitalize Development Expenditures</w:t>
      </w:r>
      <w:r>
        <w:rPr>
          <w:rFonts w:ascii="Times New Roman" w:hAnsi="Times New Roman" w:cs="Times New Roman"/>
          <w:b/>
          <w:sz w:val="24"/>
          <w:szCs w:val="24"/>
          <w:vertAlign w:val="superscript"/>
        </w:rPr>
        <w:t>a</w:t>
      </w:r>
    </w:p>
    <w:p w14:paraId="0E71AE6B" w14:textId="77777777" w:rsidR="00C46695" w:rsidRDefault="003808C1" w:rsidP="002C6E49">
      <w:pPr>
        <w:tabs>
          <w:tab w:val="left" w:pos="-426"/>
          <w:tab w:val="left" w:pos="709"/>
          <w:tab w:val="left" w:pos="993"/>
          <w:tab w:val="left" w:pos="1701"/>
          <w:tab w:val="left" w:pos="2835"/>
          <w:tab w:val="left" w:pos="3402"/>
        </w:tabs>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vertAlign w:val="superscript"/>
        </w:rPr>
        <w:t>a</w:t>
      </w:r>
      <w:r>
        <w:rPr>
          <w:rFonts w:ascii="Times New Roman" w:hAnsi="Times New Roman" w:cs="Times New Roman"/>
          <w:sz w:val="24"/>
          <w:szCs w:val="24"/>
        </w:rPr>
        <w:t xml:space="preserve">This table reports the coefficient estimates and t-statistics from the following regression: </w:t>
      </w:r>
    </w:p>
    <w:p w14:paraId="421569A6" w14:textId="36C3BE8B" w:rsidR="002C6E49" w:rsidRDefault="003808C1" w:rsidP="002C6E49">
      <w:pPr>
        <w:tabs>
          <w:tab w:val="left" w:pos="-426"/>
          <w:tab w:val="left" w:pos="709"/>
          <w:tab w:val="left" w:pos="993"/>
          <w:tab w:val="left" w:pos="1701"/>
          <w:tab w:val="left" w:pos="2835"/>
          <w:tab w:val="left" w:pos="3402"/>
        </w:tabs>
        <w:spacing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CAP = </w:t>
      </w:r>
      <w:r w:rsidR="00F327C9">
        <w:rPr>
          <w:rFonts w:ascii="Symbol" w:eastAsia="Times New Roman" w:hAnsi="Symbol" w:cs="Times New Roman"/>
          <w:color w:val="000000"/>
          <w:sz w:val="24"/>
          <w:szCs w:val="24"/>
        </w:rPr>
        <w:t></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 xml:space="preserve"> + </w:t>
      </w:r>
      <w:r>
        <w:rPr>
          <w:rFonts w:ascii="Symbol" w:eastAsia="Times New Roman" w:hAnsi="Symbol" w:cs="Times New Roman"/>
          <w:color w:val="000000"/>
          <w:sz w:val="24"/>
          <w:szCs w:val="24"/>
        </w:rPr>
        <w:t></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EARN_VAR + </w:t>
      </w:r>
      <w:r>
        <w:rPr>
          <w:rFonts w:ascii="Symbol" w:eastAsia="Times New Roman" w:hAnsi="Symbol" w:cs="Times New Roman"/>
          <w:color w:val="000000"/>
          <w:sz w:val="24"/>
          <w:szCs w:val="24"/>
        </w:rPr>
        <w:t></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EARN_SIGN + </w:t>
      </w:r>
      <w:r>
        <w:rPr>
          <w:rFonts w:ascii="Symbol" w:eastAsia="Times New Roman" w:hAnsi="Symbol" w:cs="Times New Roman"/>
          <w:color w:val="000000"/>
          <w:sz w:val="24"/>
          <w:szCs w:val="24"/>
        </w:rPr>
        <w:t></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SIZE + </w:t>
      </w:r>
      <w:r>
        <w:rPr>
          <w:rFonts w:ascii="Symbol" w:eastAsia="Times New Roman" w:hAnsi="Symbol" w:cs="Times New Roman"/>
          <w:color w:val="000000"/>
          <w:sz w:val="24"/>
          <w:szCs w:val="24"/>
        </w:rPr>
        <w:t></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xml:space="preserve">M/B + </w:t>
      </w:r>
      <w:r>
        <w:rPr>
          <w:rFonts w:ascii="Symbol" w:eastAsia="Times New Roman" w:hAnsi="Symbol" w:cs="Times New Roman"/>
          <w:color w:val="000000"/>
          <w:sz w:val="24"/>
          <w:szCs w:val="24"/>
        </w:rPr>
        <w:t></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RD</w:t>
      </w:r>
      <w:r w:rsidR="00182B23">
        <w:rPr>
          <w:rFonts w:ascii="Times New Roman" w:eastAsia="Times New Roman" w:hAnsi="Times New Roman" w:cs="Times New Roman"/>
          <w:color w:val="000000"/>
          <w:sz w:val="24"/>
          <w:szCs w:val="24"/>
        </w:rPr>
        <w:t>/TA</w:t>
      </w:r>
      <w:r>
        <w:rPr>
          <w:rFonts w:ascii="Times New Roman" w:eastAsia="Times New Roman" w:hAnsi="Times New Roman" w:cs="Times New Roman"/>
          <w:color w:val="000000"/>
          <w:sz w:val="24"/>
          <w:szCs w:val="24"/>
        </w:rPr>
        <w:t xml:space="preserve"> + </w:t>
      </w:r>
      <w:r>
        <w:rPr>
          <w:rFonts w:ascii="Symbol" w:eastAsia="Times New Roman" w:hAnsi="Symbol" w:cs="Times New Roman"/>
          <w:color w:val="000000"/>
          <w:sz w:val="24"/>
          <w:szCs w:val="24"/>
        </w:rPr>
        <w:t></w:t>
      </w:r>
      <w:r>
        <w:rPr>
          <w:rFonts w:ascii="Times New Roman" w:eastAsia="Times New Roman" w:hAnsi="Times New Roman" w:cs="Times New Roman"/>
          <w:color w:val="000000"/>
          <w:sz w:val="24"/>
          <w:szCs w:val="24"/>
          <w:vertAlign w:val="subscript"/>
        </w:rPr>
        <w:t>6</w:t>
      </w:r>
      <w:r>
        <w:rPr>
          <w:rFonts w:ascii="Times New Roman" w:eastAsia="Times New Roman" w:hAnsi="Times New Roman" w:cs="Times New Roman"/>
          <w:color w:val="000000"/>
          <w:sz w:val="24"/>
          <w:szCs w:val="24"/>
        </w:rPr>
        <w:t xml:space="preserve">LEV + </w:t>
      </w:r>
      <w:r>
        <w:rPr>
          <w:rFonts w:ascii="Symbol" w:eastAsia="Times New Roman" w:hAnsi="Symbol" w:cs="Times New Roman"/>
          <w:color w:val="000000"/>
          <w:sz w:val="24"/>
          <w:szCs w:val="24"/>
        </w:rPr>
        <w:t></w:t>
      </w:r>
      <w:r>
        <w:rPr>
          <w:rFonts w:ascii="Times New Roman" w:eastAsia="Times New Roman" w:hAnsi="Times New Roman" w:cs="Times New Roman"/>
          <w:color w:val="000000"/>
          <w:sz w:val="24"/>
          <w:szCs w:val="24"/>
          <w:vertAlign w:val="subscript"/>
        </w:rPr>
        <w:t>7</w:t>
      </w:r>
      <w:r>
        <w:rPr>
          <w:rFonts w:ascii="Times New Roman" w:eastAsia="Times New Roman" w:hAnsi="Times New Roman" w:cs="Times New Roman"/>
          <w:color w:val="000000"/>
          <w:sz w:val="24"/>
          <w:szCs w:val="24"/>
        </w:rPr>
        <w:t xml:space="preserve">BETA </w:t>
      </w:r>
    </w:p>
    <w:p w14:paraId="34477FAE" w14:textId="07885ADE" w:rsidR="002C6E49" w:rsidRDefault="003808C1" w:rsidP="002C6E49">
      <w:pPr>
        <w:tabs>
          <w:tab w:val="left" w:pos="-426"/>
          <w:tab w:val="left" w:pos="709"/>
          <w:tab w:val="left" w:pos="993"/>
          <w:tab w:val="left" w:pos="1701"/>
          <w:tab w:val="left" w:pos="2835"/>
          <w:tab w:val="left" w:pos="3402"/>
        </w:tabs>
        <w:spacing w:line="240"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Pr>
          <w:rFonts w:ascii="Symbol" w:eastAsia="Times New Roman" w:hAnsi="Symbol" w:cs="Times New Roman"/>
          <w:color w:val="000000"/>
          <w:sz w:val="24"/>
          <w:szCs w:val="24"/>
        </w:rPr>
        <w:t></w:t>
      </w:r>
      <w:r>
        <w:rPr>
          <w:rFonts w:ascii="Times New Roman" w:eastAsia="Times New Roman" w:hAnsi="Times New Roman" w:cs="Times New Roman"/>
          <w:color w:val="000000"/>
          <w:sz w:val="24"/>
          <w:szCs w:val="24"/>
          <w:vertAlign w:val="subscript"/>
        </w:rPr>
        <w:t>8</w:t>
      </w:r>
      <w:r>
        <w:rPr>
          <w:rFonts w:ascii="Times New Roman" w:eastAsia="Times New Roman" w:hAnsi="Times New Roman" w:cs="Times New Roman"/>
          <w:color w:val="000000"/>
          <w:sz w:val="24"/>
          <w:szCs w:val="24"/>
        </w:rPr>
        <w:t xml:space="preserve">AGE + </w:t>
      </w:r>
      <w:r>
        <w:rPr>
          <w:rFonts w:ascii="Symbol" w:eastAsia="Times New Roman" w:hAnsi="Symbol" w:cs="Times New Roman"/>
          <w:color w:val="000000"/>
          <w:sz w:val="24"/>
          <w:szCs w:val="24"/>
        </w:rPr>
        <w:t></w:t>
      </w:r>
      <w:r>
        <w:rPr>
          <w:rFonts w:ascii="Times New Roman" w:eastAsia="Times New Roman" w:hAnsi="Times New Roman" w:cs="Times New Roman"/>
          <w:color w:val="000000"/>
          <w:sz w:val="24"/>
          <w:szCs w:val="24"/>
          <w:vertAlign w:val="subscript"/>
        </w:rPr>
        <w:t>9</w:t>
      </w:r>
      <w:r>
        <w:rPr>
          <w:rFonts w:ascii="Times New Roman" w:eastAsia="Times New Roman" w:hAnsi="Times New Roman" w:cs="Times New Roman"/>
          <w:color w:val="000000"/>
          <w:sz w:val="24"/>
          <w:szCs w:val="24"/>
        </w:rPr>
        <w:t xml:space="preserve">STATE + </w:t>
      </w:r>
      <w:r w:rsidR="00807027">
        <w:rPr>
          <w:rFonts w:ascii="Symbol" w:eastAsia="Times New Roman" w:hAnsi="Symbol" w:cs="Times New Roman"/>
          <w:color w:val="000000"/>
          <w:sz w:val="24"/>
          <w:szCs w:val="24"/>
        </w:rPr>
        <w:t></w:t>
      </w:r>
      <w:r w:rsidR="00807027">
        <w:rPr>
          <w:rFonts w:ascii="Times New Roman" w:eastAsia="Times New Roman" w:hAnsi="Times New Roman" w:cs="Times New Roman"/>
          <w:color w:val="000000"/>
          <w:sz w:val="24"/>
          <w:szCs w:val="24"/>
          <w:vertAlign w:val="subscript"/>
        </w:rPr>
        <w:t>10</w:t>
      </w:r>
      <w:r w:rsidR="00807027">
        <w:rPr>
          <w:rFonts w:ascii="Times New Roman" w:eastAsia="Times New Roman" w:hAnsi="Times New Roman" w:cs="Times New Roman"/>
          <w:color w:val="000000"/>
          <w:sz w:val="24"/>
          <w:szCs w:val="24"/>
        </w:rPr>
        <w:t xml:space="preserve">CAP% + </w:t>
      </w:r>
      <w:r>
        <w:rPr>
          <w:rFonts w:ascii="Times New Roman" w:eastAsia="Times New Roman" w:hAnsi="Times New Roman" w:cs="Times New Roman"/>
          <w:color w:val="000000"/>
          <w:sz w:val="24"/>
          <w:szCs w:val="24"/>
        </w:rPr>
        <w:t xml:space="preserve">industry fixed effects + year fixed effects + </w:t>
      </w:r>
      <w:r>
        <w:rPr>
          <w:rFonts w:ascii="Symbol" w:eastAsia="Times New Roman" w:hAnsi="Symbol" w:cs="Times New Roman"/>
          <w:color w:val="000000"/>
          <w:sz w:val="24"/>
          <w:szCs w:val="24"/>
        </w:rPr>
        <w:t></w:t>
      </w:r>
      <w:r>
        <w:rPr>
          <w:rFonts w:ascii="Times New Roman" w:hAnsi="Times New Roman" w:cs="Times New Roman"/>
          <w:sz w:val="24"/>
          <w:szCs w:val="24"/>
        </w:rPr>
        <w:t>.</w:t>
      </w:r>
    </w:p>
    <w:p w14:paraId="64DC3D67" w14:textId="4A18CB99" w:rsidR="00F73B44" w:rsidRDefault="003808C1" w:rsidP="00C02101">
      <w:pPr>
        <w:tabs>
          <w:tab w:val="left" w:pos="-426"/>
          <w:tab w:val="left" w:pos="709"/>
          <w:tab w:val="left" w:pos="993"/>
          <w:tab w:val="left" w:pos="1701"/>
          <w:tab w:val="left" w:pos="2835"/>
          <w:tab w:val="left" w:pos="3402"/>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39A05707" w14:textId="57DF8F91" w:rsidR="003808C1" w:rsidRPr="00E1462F" w:rsidRDefault="003808C1" w:rsidP="00C02101">
      <w:pPr>
        <w:tabs>
          <w:tab w:val="left" w:pos="-426"/>
          <w:tab w:val="left" w:pos="709"/>
          <w:tab w:val="left" w:pos="993"/>
          <w:tab w:val="left" w:pos="1701"/>
          <w:tab w:val="left" w:pos="2835"/>
          <w:tab w:val="left" w:pos="3402"/>
        </w:tabs>
        <w:spacing w:line="240" w:lineRule="auto"/>
        <w:jc w:val="both"/>
        <w:rPr>
          <w:rFonts w:ascii="Times New Roman" w:hAnsi="Times New Roman" w:cs="Times New Roman"/>
          <w:sz w:val="24"/>
          <w:szCs w:val="24"/>
        </w:rPr>
      </w:pPr>
      <w:r>
        <w:rPr>
          <w:rFonts w:ascii="Times New Roman" w:hAnsi="Times New Roman" w:cs="Times New Roman"/>
          <w:sz w:val="24"/>
          <w:szCs w:val="24"/>
        </w:rPr>
        <w:t>CAP is an indicator variable equal to 1</w:t>
      </w:r>
      <w:r w:rsidR="00FF0D98">
        <w:rPr>
          <w:rFonts w:ascii="Times New Roman" w:hAnsi="Times New Roman" w:cs="Times New Roman"/>
          <w:sz w:val="24"/>
          <w:szCs w:val="24"/>
        </w:rPr>
        <w:t xml:space="preserve"> </w:t>
      </w:r>
      <w:r w:rsidR="00873BC8">
        <w:rPr>
          <w:rFonts w:ascii="Times New Roman" w:hAnsi="Times New Roman" w:cs="Times New Roman"/>
          <w:sz w:val="24"/>
          <w:szCs w:val="24"/>
        </w:rPr>
        <w:t xml:space="preserve">if the firm capitalized its R&amp;D </w:t>
      </w:r>
      <w:r>
        <w:rPr>
          <w:rFonts w:ascii="Times New Roman" w:hAnsi="Times New Roman" w:cs="Times New Roman"/>
          <w:sz w:val="24"/>
          <w:szCs w:val="24"/>
        </w:rPr>
        <w:t>under UK GAAP,</w:t>
      </w:r>
      <w:r w:rsidR="001832F5">
        <w:rPr>
          <w:rFonts w:ascii="Times New Roman" w:hAnsi="Times New Roman" w:cs="Times New Roman"/>
          <w:sz w:val="24"/>
          <w:szCs w:val="24"/>
        </w:rPr>
        <w:t xml:space="preserve"> </w:t>
      </w:r>
      <w:r>
        <w:rPr>
          <w:rFonts w:ascii="Times New Roman" w:hAnsi="Times New Roman" w:cs="Times New Roman"/>
          <w:sz w:val="24"/>
          <w:szCs w:val="24"/>
        </w:rPr>
        <w:t xml:space="preserve">0 </w:t>
      </w:r>
      <w:r w:rsidR="00873BC8">
        <w:rPr>
          <w:rFonts w:ascii="Times New Roman" w:hAnsi="Times New Roman" w:cs="Times New Roman"/>
          <w:sz w:val="24"/>
          <w:szCs w:val="24"/>
        </w:rPr>
        <w:t xml:space="preserve">if the firm expensed its </w:t>
      </w:r>
      <w:r>
        <w:rPr>
          <w:rFonts w:ascii="Times New Roman" w:hAnsi="Times New Roman" w:cs="Times New Roman"/>
          <w:sz w:val="24"/>
          <w:szCs w:val="24"/>
        </w:rPr>
        <w:t xml:space="preserve">R&amp;D under UK GAAP; EARN_VAR is </w:t>
      </w:r>
      <w:r w:rsidR="004F161F">
        <w:rPr>
          <w:rFonts w:ascii="Times New Roman" w:hAnsi="Times New Roman" w:cs="Times New Roman"/>
          <w:sz w:val="24"/>
          <w:szCs w:val="24"/>
        </w:rPr>
        <w:t xml:space="preserve">the </w:t>
      </w:r>
      <w:r>
        <w:rPr>
          <w:rFonts w:ascii="Times New Roman" w:hAnsi="Times New Roman" w:cs="Times New Roman"/>
          <w:sz w:val="24"/>
          <w:szCs w:val="24"/>
        </w:rPr>
        <w:t>variance of the firm’s earnings per share deflated by share price at the start of the fiscal year over 1990-2004; EARN_SIGN is an indicator variable equal to 1 if earnings for the firm (</w:t>
      </w:r>
      <w:r w:rsidR="003C7B8A">
        <w:rPr>
          <w:rFonts w:ascii="Times New Roman" w:hAnsi="Times New Roman" w:cs="Times New Roman"/>
          <w:sz w:val="24"/>
          <w:szCs w:val="24"/>
        </w:rPr>
        <w:t>converted</w:t>
      </w:r>
      <w:r>
        <w:rPr>
          <w:rFonts w:ascii="Times New Roman" w:hAnsi="Times New Roman" w:cs="Times New Roman"/>
          <w:sz w:val="24"/>
          <w:szCs w:val="24"/>
        </w:rPr>
        <w:t xml:space="preserve"> to </w:t>
      </w:r>
      <w:r w:rsidR="00990B5F">
        <w:rPr>
          <w:rFonts w:ascii="Times New Roman" w:hAnsi="Times New Roman" w:cs="Times New Roman"/>
          <w:sz w:val="24"/>
          <w:szCs w:val="24"/>
        </w:rPr>
        <w:t xml:space="preserve">an </w:t>
      </w:r>
      <w:r>
        <w:rPr>
          <w:rFonts w:ascii="Times New Roman" w:hAnsi="Times New Roman" w:cs="Times New Roman"/>
          <w:sz w:val="24"/>
          <w:szCs w:val="24"/>
        </w:rPr>
        <w:t>‘as-if-expense’</w:t>
      </w:r>
      <w:r w:rsidR="00990B5F">
        <w:rPr>
          <w:rFonts w:ascii="Times New Roman" w:hAnsi="Times New Roman" w:cs="Times New Roman"/>
          <w:sz w:val="24"/>
          <w:szCs w:val="24"/>
        </w:rPr>
        <w:t xml:space="preserve"> basis</w:t>
      </w:r>
      <w:r w:rsidR="00FD39EA">
        <w:rPr>
          <w:rFonts w:ascii="Times New Roman" w:hAnsi="Times New Roman" w:cs="Times New Roman"/>
          <w:sz w:val="24"/>
          <w:szCs w:val="24"/>
        </w:rPr>
        <w:t>)</w:t>
      </w:r>
      <w:r>
        <w:rPr>
          <w:rFonts w:ascii="Times New Roman" w:hAnsi="Times New Roman" w:cs="Times New Roman"/>
          <w:sz w:val="24"/>
          <w:szCs w:val="24"/>
        </w:rPr>
        <w:t xml:space="preserve"> is positive, </w:t>
      </w:r>
      <w:r w:rsidR="004F161F">
        <w:rPr>
          <w:rFonts w:ascii="Times New Roman" w:hAnsi="Times New Roman" w:cs="Times New Roman"/>
          <w:sz w:val="24"/>
          <w:szCs w:val="24"/>
        </w:rPr>
        <w:t>0</w:t>
      </w:r>
      <w:r>
        <w:rPr>
          <w:rFonts w:ascii="Times New Roman" w:hAnsi="Times New Roman" w:cs="Times New Roman"/>
          <w:sz w:val="24"/>
          <w:szCs w:val="24"/>
        </w:rPr>
        <w:t xml:space="preserve"> otherwise; </w:t>
      </w:r>
      <w:bookmarkStart w:id="14" w:name="_Hlk46666270"/>
      <w:r w:rsidR="00273344">
        <w:rPr>
          <w:rFonts w:ascii="Times New Roman" w:hAnsi="Times New Roman" w:cs="Times New Roman"/>
          <w:sz w:val="24"/>
          <w:szCs w:val="24"/>
        </w:rPr>
        <w:t>SIZE</w:t>
      </w:r>
      <w:r>
        <w:rPr>
          <w:rFonts w:ascii="Times New Roman" w:hAnsi="Times New Roman" w:cs="Times New Roman"/>
          <w:sz w:val="24"/>
          <w:szCs w:val="24"/>
        </w:rPr>
        <w:t xml:space="preserve"> is the natural log</w:t>
      </w:r>
      <w:r w:rsidR="00F822B0">
        <w:rPr>
          <w:rFonts w:ascii="Times New Roman" w:hAnsi="Times New Roman" w:cs="Times New Roman"/>
          <w:sz w:val="24"/>
          <w:szCs w:val="24"/>
        </w:rPr>
        <w:t>arithm</w:t>
      </w:r>
      <w:r>
        <w:rPr>
          <w:rFonts w:ascii="Times New Roman" w:hAnsi="Times New Roman" w:cs="Times New Roman"/>
          <w:sz w:val="24"/>
          <w:szCs w:val="24"/>
        </w:rPr>
        <w:t xml:space="preserve"> of </w:t>
      </w:r>
      <w:r w:rsidR="003C7B8A">
        <w:rPr>
          <w:rFonts w:ascii="Times New Roman" w:hAnsi="Times New Roman" w:cs="Times New Roman"/>
          <w:sz w:val="24"/>
          <w:szCs w:val="24"/>
        </w:rPr>
        <w:t xml:space="preserve">the firm’s </w:t>
      </w:r>
      <w:r>
        <w:rPr>
          <w:rFonts w:ascii="Times New Roman" w:hAnsi="Times New Roman" w:cs="Times New Roman"/>
          <w:sz w:val="24"/>
          <w:szCs w:val="24"/>
        </w:rPr>
        <w:t xml:space="preserve">market </w:t>
      </w:r>
      <w:r w:rsidR="00F8033C">
        <w:rPr>
          <w:rFonts w:ascii="Times New Roman" w:hAnsi="Times New Roman" w:cs="Times New Roman"/>
          <w:sz w:val="24"/>
          <w:szCs w:val="24"/>
        </w:rPr>
        <w:t>value of equity</w:t>
      </w:r>
      <w:bookmarkEnd w:id="14"/>
      <w:r>
        <w:rPr>
          <w:rFonts w:ascii="Times New Roman" w:hAnsi="Times New Roman" w:cs="Times New Roman"/>
          <w:sz w:val="24"/>
          <w:szCs w:val="24"/>
        </w:rPr>
        <w:t xml:space="preserve">; M/B is market value </w:t>
      </w:r>
      <w:r w:rsidR="00F8033C">
        <w:rPr>
          <w:rFonts w:ascii="Times New Roman" w:hAnsi="Times New Roman" w:cs="Times New Roman"/>
          <w:sz w:val="24"/>
          <w:szCs w:val="24"/>
        </w:rPr>
        <w:t xml:space="preserve">of equity </w:t>
      </w:r>
      <w:r>
        <w:rPr>
          <w:rFonts w:ascii="Times New Roman" w:hAnsi="Times New Roman" w:cs="Times New Roman"/>
          <w:sz w:val="24"/>
          <w:szCs w:val="24"/>
        </w:rPr>
        <w:t>divided by book value</w:t>
      </w:r>
      <w:r w:rsidR="00F8033C">
        <w:rPr>
          <w:rFonts w:ascii="Times New Roman" w:hAnsi="Times New Roman" w:cs="Times New Roman"/>
          <w:sz w:val="24"/>
          <w:szCs w:val="24"/>
        </w:rPr>
        <w:t xml:space="preserve"> of equity</w:t>
      </w:r>
      <w:r>
        <w:rPr>
          <w:rFonts w:ascii="Times New Roman" w:hAnsi="Times New Roman" w:cs="Times New Roman"/>
          <w:sz w:val="24"/>
          <w:szCs w:val="24"/>
        </w:rPr>
        <w:t xml:space="preserve"> (converted to </w:t>
      </w:r>
      <w:r w:rsidR="00990B5F">
        <w:rPr>
          <w:rFonts w:ascii="Times New Roman" w:hAnsi="Times New Roman" w:cs="Times New Roman"/>
          <w:sz w:val="24"/>
          <w:szCs w:val="24"/>
        </w:rPr>
        <w:t xml:space="preserve">an </w:t>
      </w:r>
      <w:r>
        <w:rPr>
          <w:rFonts w:ascii="Times New Roman" w:hAnsi="Times New Roman" w:cs="Times New Roman"/>
          <w:sz w:val="24"/>
          <w:szCs w:val="24"/>
        </w:rPr>
        <w:t>‘as-if-expense’</w:t>
      </w:r>
      <w:r w:rsidR="00990B5F">
        <w:rPr>
          <w:rFonts w:ascii="Times New Roman" w:hAnsi="Times New Roman" w:cs="Times New Roman"/>
          <w:sz w:val="24"/>
          <w:szCs w:val="24"/>
        </w:rPr>
        <w:t xml:space="preserve"> basis</w:t>
      </w:r>
      <w:r w:rsidR="00FD39EA">
        <w:rPr>
          <w:rFonts w:ascii="Times New Roman" w:hAnsi="Times New Roman" w:cs="Times New Roman"/>
          <w:sz w:val="24"/>
          <w:szCs w:val="24"/>
        </w:rPr>
        <w:t>)</w:t>
      </w:r>
      <w:r>
        <w:rPr>
          <w:rFonts w:ascii="Times New Roman" w:hAnsi="Times New Roman" w:cs="Times New Roman"/>
          <w:sz w:val="24"/>
          <w:szCs w:val="24"/>
        </w:rPr>
        <w:t>; RD</w:t>
      </w:r>
      <w:r w:rsidR="00182B23">
        <w:rPr>
          <w:rFonts w:ascii="Times New Roman" w:hAnsi="Times New Roman" w:cs="Times New Roman"/>
          <w:sz w:val="24"/>
          <w:szCs w:val="24"/>
        </w:rPr>
        <w:t>/TA</w:t>
      </w:r>
      <w:r>
        <w:rPr>
          <w:rFonts w:ascii="Times New Roman" w:hAnsi="Times New Roman" w:cs="Times New Roman"/>
          <w:sz w:val="24"/>
          <w:szCs w:val="24"/>
        </w:rPr>
        <w:t xml:space="preserve"> is R&amp;D expenditures divided by total assets (converted to </w:t>
      </w:r>
      <w:r w:rsidR="00990B5F">
        <w:rPr>
          <w:rFonts w:ascii="Times New Roman" w:hAnsi="Times New Roman" w:cs="Times New Roman"/>
          <w:sz w:val="24"/>
          <w:szCs w:val="24"/>
        </w:rPr>
        <w:t xml:space="preserve">an </w:t>
      </w:r>
      <w:r>
        <w:rPr>
          <w:rFonts w:ascii="Times New Roman" w:hAnsi="Times New Roman" w:cs="Times New Roman"/>
          <w:sz w:val="24"/>
          <w:szCs w:val="24"/>
        </w:rPr>
        <w:t>‘as-if-expense’</w:t>
      </w:r>
      <w:r w:rsidR="00990B5F">
        <w:rPr>
          <w:rFonts w:ascii="Times New Roman" w:hAnsi="Times New Roman" w:cs="Times New Roman"/>
          <w:sz w:val="24"/>
          <w:szCs w:val="24"/>
        </w:rPr>
        <w:t xml:space="preserve"> basis</w:t>
      </w:r>
      <w:r w:rsidR="00FD39EA">
        <w:rPr>
          <w:rFonts w:ascii="Times New Roman" w:hAnsi="Times New Roman" w:cs="Times New Roman"/>
          <w:sz w:val="24"/>
          <w:szCs w:val="24"/>
        </w:rPr>
        <w:t>)</w:t>
      </w:r>
      <w:r>
        <w:rPr>
          <w:rFonts w:ascii="Times New Roman" w:hAnsi="Times New Roman" w:cs="Times New Roman"/>
          <w:sz w:val="24"/>
          <w:szCs w:val="24"/>
        </w:rPr>
        <w:t xml:space="preserve">; LEV is the firm’s leverage measured as debt divided by book value of equity (converted to </w:t>
      </w:r>
      <w:r w:rsidR="00990B5F">
        <w:rPr>
          <w:rFonts w:ascii="Times New Roman" w:hAnsi="Times New Roman" w:cs="Times New Roman"/>
          <w:sz w:val="24"/>
          <w:szCs w:val="24"/>
        </w:rPr>
        <w:t xml:space="preserve">an </w:t>
      </w:r>
      <w:r>
        <w:rPr>
          <w:rFonts w:ascii="Times New Roman" w:hAnsi="Times New Roman" w:cs="Times New Roman"/>
          <w:sz w:val="24"/>
          <w:szCs w:val="24"/>
        </w:rPr>
        <w:t>‘as-if-expense’</w:t>
      </w:r>
      <w:r w:rsidR="00990B5F">
        <w:rPr>
          <w:rFonts w:ascii="Times New Roman" w:hAnsi="Times New Roman" w:cs="Times New Roman"/>
          <w:sz w:val="24"/>
          <w:szCs w:val="24"/>
        </w:rPr>
        <w:t xml:space="preserve"> basis</w:t>
      </w:r>
      <w:r w:rsidR="00FD39EA">
        <w:rPr>
          <w:rFonts w:ascii="Times New Roman" w:hAnsi="Times New Roman" w:cs="Times New Roman"/>
          <w:sz w:val="24"/>
          <w:szCs w:val="24"/>
        </w:rPr>
        <w:t>)</w:t>
      </w:r>
      <w:r>
        <w:rPr>
          <w:rFonts w:ascii="Times New Roman" w:hAnsi="Times New Roman" w:cs="Times New Roman"/>
          <w:sz w:val="24"/>
          <w:szCs w:val="24"/>
        </w:rPr>
        <w:t xml:space="preserve">; BETA is the firm's beta; AGE is the firm’s age measured as the number of years </w:t>
      </w:r>
      <w:r w:rsidRPr="00E1462F">
        <w:rPr>
          <w:rFonts w:ascii="Times New Roman" w:hAnsi="Times New Roman" w:cs="Times New Roman"/>
          <w:sz w:val="24"/>
          <w:szCs w:val="24"/>
        </w:rPr>
        <w:t xml:space="preserve">between the date of incorporation and fiscal year-end; STATE is an indicator variable equal to 1 if the firm is estimated to be in steady-state with respect to its R&amp;D program, 0 otherwise. Steady-state status is determined based on the absolute value of the difference between the amounts capitalized and amortized in a particular year scaled by the intangible </w:t>
      </w:r>
      <w:r w:rsidR="00D9052B">
        <w:rPr>
          <w:rFonts w:ascii="Times New Roman" w:hAnsi="Times New Roman" w:cs="Times New Roman"/>
          <w:sz w:val="24"/>
          <w:szCs w:val="24"/>
        </w:rPr>
        <w:t>R&amp;D asset</w:t>
      </w:r>
      <w:r w:rsidRPr="00E1462F">
        <w:rPr>
          <w:rFonts w:ascii="Times New Roman" w:hAnsi="Times New Roman" w:cs="Times New Roman"/>
          <w:sz w:val="24"/>
          <w:szCs w:val="24"/>
        </w:rPr>
        <w:t xml:space="preserve"> (reported for the capitalizers and estimated for the expensers). Firms in the lower half of the distribution by industry of this variable are classified as steady-state (STATE = 1) and firms in the upper half of the distribution by industry are classified as non-steady-state (STATE=0). To estimate the amounts capitalized and amortized for the expensers, we estimate a</w:t>
      </w:r>
      <w:r w:rsidR="005F7861">
        <w:rPr>
          <w:rFonts w:ascii="Times New Roman" w:hAnsi="Times New Roman" w:cs="Times New Roman"/>
          <w:sz w:val="24"/>
          <w:szCs w:val="24"/>
        </w:rPr>
        <w:t>n</w:t>
      </w:r>
      <w:r w:rsidRPr="00E1462F">
        <w:rPr>
          <w:rFonts w:ascii="Times New Roman" w:hAnsi="Times New Roman" w:cs="Times New Roman"/>
          <w:sz w:val="24"/>
          <w:szCs w:val="24"/>
        </w:rPr>
        <w:t xml:space="preserve"> </w:t>
      </w:r>
      <w:r w:rsidR="00D9052B">
        <w:rPr>
          <w:rFonts w:ascii="Times New Roman" w:hAnsi="Times New Roman" w:cs="Times New Roman"/>
          <w:sz w:val="24"/>
          <w:szCs w:val="24"/>
        </w:rPr>
        <w:t xml:space="preserve">R&amp;D </w:t>
      </w:r>
      <w:r w:rsidRPr="00E1462F">
        <w:rPr>
          <w:rFonts w:ascii="Times New Roman" w:hAnsi="Times New Roman" w:cs="Times New Roman"/>
          <w:sz w:val="24"/>
          <w:szCs w:val="24"/>
        </w:rPr>
        <w:t xml:space="preserve">asset based on a capitalization percentage of 77% applied to yearly R&amp;D expenditures and an amortization rate of 20%. The capitalization and amortization rates are from Oswald (2008). </w:t>
      </w:r>
      <w:r w:rsidR="003C7B8A" w:rsidRPr="00E1462F">
        <w:rPr>
          <w:rFonts w:ascii="Times New Roman" w:hAnsi="Times New Roman" w:cs="Times New Roman"/>
          <w:sz w:val="24"/>
          <w:szCs w:val="24"/>
        </w:rPr>
        <w:t xml:space="preserve">CAP% is the ratio of capitalized to total </w:t>
      </w:r>
      <w:r w:rsidR="003C7B8A">
        <w:rPr>
          <w:rFonts w:ascii="Times New Roman" w:hAnsi="Times New Roman" w:cs="Times New Roman"/>
          <w:sz w:val="24"/>
          <w:szCs w:val="24"/>
        </w:rPr>
        <w:t>R&amp;D</w:t>
      </w:r>
      <w:r w:rsidR="003C7B8A" w:rsidRPr="00E1462F">
        <w:rPr>
          <w:rFonts w:ascii="Times New Roman" w:hAnsi="Times New Roman" w:cs="Times New Roman"/>
          <w:sz w:val="24"/>
          <w:szCs w:val="24"/>
        </w:rPr>
        <w:t xml:space="preserve"> expenditures. For expensers (who did not disclose this ratio under UK GAAP), we used the pro-forma capitalization data that they were required to disclose upon the switch to IFRS. Since we have CAP% for only this year, we assumed the same percentage for all years.</w:t>
      </w:r>
      <w:r w:rsidR="00DE384E">
        <w:rPr>
          <w:rFonts w:ascii="Times New Roman" w:hAnsi="Times New Roman" w:cs="Times New Roman"/>
          <w:sz w:val="24"/>
          <w:szCs w:val="24"/>
        </w:rPr>
        <w:t xml:space="preserve"> </w:t>
      </w:r>
      <w:r w:rsidRPr="00E1462F">
        <w:rPr>
          <w:rFonts w:ascii="Times New Roman" w:hAnsi="Times New Roman" w:cs="Times New Roman"/>
          <w:sz w:val="24"/>
          <w:szCs w:val="24"/>
        </w:rPr>
        <w:t>All variables</w:t>
      </w:r>
      <w:r w:rsidR="00FD39EA" w:rsidRPr="00E1462F">
        <w:rPr>
          <w:rFonts w:ascii="Times New Roman" w:hAnsi="Times New Roman" w:cs="Times New Roman"/>
          <w:sz w:val="24"/>
          <w:szCs w:val="24"/>
        </w:rPr>
        <w:t>,</w:t>
      </w:r>
      <w:r w:rsidRPr="00E1462F">
        <w:rPr>
          <w:rFonts w:ascii="Times New Roman" w:hAnsi="Times New Roman" w:cs="Times New Roman"/>
          <w:sz w:val="24"/>
          <w:szCs w:val="24"/>
        </w:rPr>
        <w:t xml:space="preserve"> unless otherwise noted</w:t>
      </w:r>
      <w:r w:rsidR="00FD39EA" w:rsidRPr="00E1462F">
        <w:rPr>
          <w:rFonts w:ascii="Times New Roman" w:hAnsi="Times New Roman" w:cs="Times New Roman"/>
          <w:sz w:val="24"/>
          <w:szCs w:val="24"/>
        </w:rPr>
        <w:t>,</w:t>
      </w:r>
      <w:r w:rsidRPr="00E1462F">
        <w:rPr>
          <w:rFonts w:ascii="Times New Roman" w:hAnsi="Times New Roman" w:cs="Times New Roman"/>
          <w:sz w:val="24"/>
          <w:szCs w:val="24"/>
        </w:rPr>
        <w:t xml:space="preserve"> a</w:t>
      </w:r>
      <w:r w:rsidR="005D1EB6" w:rsidRPr="00E1462F">
        <w:rPr>
          <w:rFonts w:ascii="Times New Roman" w:hAnsi="Times New Roman" w:cs="Times New Roman"/>
          <w:sz w:val="24"/>
          <w:szCs w:val="24"/>
        </w:rPr>
        <w:t xml:space="preserve">re measured at fiscal-year end, </w:t>
      </w:r>
      <w:r w:rsidR="00FD39EA" w:rsidRPr="00E1462F">
        <w:rPr>
          <w:rFonts w:ascii="Times New Roman" w:hAnsi="Times New Roman" w:cs="Times New Roman"/>
          <w:sz w:val="24"/>
          <w:szCs w:val="24"/>
        </w:rPr>
        <w:t xml:space="preserve">and </w:t>
      </w:r>
      <w:r w:rsidR="005D1EB6" w:rsidRPr="00E1462F">
        <w:rPr>
          <w:rFonts w:ascii="Times New Roman" w:hAnsi="Times New Roman" w:cs="Times New Roman"/>
          <w:sz w:val="24"/>
          <w:szCs w:val="24"/>
        </w:rPr>
        <w:t xml:space="preserve">all </w:t>
      </w:r>
      <w:r w:rsidRPr="00E1462F">
        <w:rPr>
          <w:rFonts w:ascii="Times New Roman" w:hAnsi="Times New Roman" w:cs="Times New Roman"/>
          <w:sz w:val="24"/>
          <w:szCs w:val="24"/>
        </w:rPr>
        <w:t xml:space="preserve">explanatory variables are measured as the percentile ranking of each firm within its industry-year. </w:t>
      </w:r>
    </w:p>
    <w:p w14:paraId="0606EE50" w14:textId="35CC4771" w:rsidR="003808C1" w:rsidRDefault="003808C1" w:rsidP="00C02101">
      <w:pPr>
        <w:tabs>
          <w:tab w:val="left" w:pos="-426"/>
          <w:tab w:val="left" w:pos="709"/>
          <w:tab w:val="left" w:pos="993"/>
          <w:tab w:val="left" w:pos="1701"/>
          <w:tab w:val="left" w:pos="2835"/>
          <w:tab w:val="left" w:pos="3402"/>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Standard errors are clustered by firm. </w:t>
      </w:r>
    </w:p>
    <w:p w14:paraId="52F13260" w14:textId="77777777" w:rsidR="003808C1" w:rsidRDefault="003808C1" w:rsidP="00C02101">
      <w:pPr>
        <w:tabs>
          <w:tab w:val="left" w:pos="-426"/>
          <w:tab w:val="left" w:pos="709"/>
          <w:tab w:val="left" w:pos="993"/>
          <w:tab w:val="left" w:pos="1701"/>
          <w:tab w:val="left" w:pos="2835"/>
          <w:tab w:val="left" w:pos="3402"/>
        </w:tabs>
        <w:spacing w:line="240" w:lineRule="auto"/>
        <w:contextualSpacing/>
        <w:jc w:val="both"/>
        <w:rPr>
          <w:rFonts w:ascii="Times New Roman" w:hAnsi="Times New Roman" w:cs="Times New Roman"/>
          <w:sz w:val="24"/>
          <w:szCs w:val="24"/>
        </w:rPr>
      </w:pPr>
    </w:p>
    <w:p w14:paraId="0A267960" w14:textId="77777777" w:rsidR="003808C1" w:rsidRDefault="003808C1" w:rsidP="00C02101">
      <w:pPr>
        <w:spacing w:before="100" w:beforeAutospacing="1"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 and *** indicate significance at the 0.10, 0.05 and 0.01 levels, respectively.</w:t>
      </w:r>
    </w:p>
    <w:p w14:paraId="010B0BF4" w14:textId="77777777" w:rsidR="003808C1" w:rsidRDefault="003808C1" w:rsidP="00985B4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6699214" w14:textId="77777777" w:rsidR="001832F5" w:rsidRDefault="003808C1" w:rsidP="001832F5">
      <w:pPr>
        <w:spacing w:before="100" w:beforeAutospacing="1"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5</w:t>
      </w:r>
      <w:r w:rsidR="004D0745">
        <w:rPr>
          <w:rFonts w:ascii="Times New Roman" w:eastAsia="Times New Roman" w:hAnsi="Times New Roman" w:cs="Times New Roman"/>
          <w:b/>
          <w:sz w:val="24"/>
          <w:szCs w:val="24"/>
        </w:rPr>
        <w:t xml:space="preserve"> </w:t>
      </w:r>
    </w:p>
    <w:p w14:paraId="1FD64C56" w14:textId="5C6D638C" w:rsidR="003808C1" w:rsidRDefault="001832F5" w:rsidP="001832F5">
      <w:pPr>
        <w:spacing w:before="100" w:beforeAutospacing="1"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Entropy Balanced Samples</w:t>
      </w:r>
      <w:r>
        <w:rPr>
          <w:rFonts w:ascii="Times New Roman" w:eastAsia="Times New Roman" w:hAnsi="Times New Roman" w:cs="Times New Roman"/>
          <w:b/>
          <w:sz w:val="24"/>
          <w:szCs w:val="24"/>
          <w:vertAlign w:val="superscript"/>
        </w:rPr>
        <w:t>a</w:t>
      </w:r>
      <w:r w:rsidR="004D0745">
        <w:rPr>
          <w:rFonts w:ascii="Times New Roman" w:eastAsia="Times New Roman" w:hAnsi="Times New Roman" w:cs="Times New Roman"/>
          <w:b/>
          <w:sz w:val="24"/>
          <w:szCs w:val="24"/>
        </w:rPr>
        <w:t xml:space="preserve"> </w:t>
      </w:r>
    </w:p>
    <w:p w14:paraId="7B3B37A9" w14:textId="36846028" w:rsidR="003808C1" w:rsidRDefault="003808C1" w:rsidP="00ED11BD">
      <w:pPr>
        <w:pBdr>
          <w:bottom w:val="single" w:sz="12" w:space="1" w:color="auto"/>
        </w:pBdr>
        <w:spacing w:before="100" w:beforeAutospacing="1" w:after="0" w:line="240" w:lineRule="auto"/>
        <w:contextualSpacing/>
        <w:rPr>
          <w:rFonts w:ascii="Times New Roman" w:eastAsia="Times New Roman" w:hAnsi="Times New Roman" w:cs="Times New Roman"/>
          <w:b/>
          <w:sz w:val="24"/>
          <w:szCs w:val="24"/>
        </w:rPr>
      </w:pPr>
    </w:p>
    <w:p w14:paraId="29D3517C" w14:textId="77777777" w:rsidR="003808C1" w:rsidRDefault="003808C1" w:rsidP="00985B47">
      <w:pPr>
        <w:spacing w:before="100" w:beforeAutospacing="1" w:after="0" w:line="240" w:lineRule="auto"/>
        <w:contextualSpacing/>
        <w:rPr>
          <w:rFonts w:ascii="Times New Roman" w:eastAsia="Times New Roman"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701"/>
        <w:gridCol w:w="1134"/>
        <w:gridCol w:w="34"/>
        <w:gridCol w:w="675"/>
        <w:gridCol w:w="1700"/>
        <w:gridCol w:w="1169"/>
        <w:gridCol w:w="455"/>
      </w:tblGrid>
      <w:tr w:rsidR="00D4469A" w:rsidRPr="00423572" w14:paraId="6A4A5798" w14:textId="77777777" w:rsidTr="00233DB1">
        <w:trPr>
          <w:jc w:val="center"/>
        </w:trPr>
        <w:tc>
          <w:tcPr>
            <w:tcW w:w="2376" w:type="dxa"/>
            <w:tcBorders>
              <w:top w:val="single" w:sz="4" w:space="0" w:color="auto"/>
            </w:tcBorders>
          </w:tcPr>
          <w:p w14:paraId="69737C59" w14:textId="633E022F" w:rsidR="00D4469A" w:rsidRPr="00865A7D" w:rsidRDefault="00D4469A" w:rsidP="00D4469A">
            <w:pPr>
              <w:rPr>
                <w:rFonts w:ascii="Times New Roman" w:hAnsi="Times New Roman" w:cs="Times New Roman"/>
                <w:b/>
                <w:sz w:val="24"/>
                <w:szCs w:val="24"/>
              </w:rPr>
            </w:pPr>
          </w:p>
        </w:tc>
        <w:tc>
          <w:tcPr>
            <w:tcW w:w="3544" w:type="dxa"/>
            <w:gridSpan w:val="4"/>
            <w:tcBorders>
              <w:top w:val="single" w:sz="4" w:space="0" w:color="auto"/>
            </w:tcBorders>
          </w:tcPr>
          <w:p w14:paraId="0E765FB1" w14:textId="028A01D9" w:rsidR="00D4469A" w:rsidRPr="00865A7D" w:rsidRDefault="00D4469A" w:rsidP="009F1A66">
            <w:pPr>
              <w:ind w:left="-641"/>
              <w:jc w:val="center"/>
              <w:rPr>
                <w:rFonts w:ascii="Times New Roman" w:hAnsi="Times New Roman" w:cs="Times New Roman"/>
                <w:b/>
                <w:sz w:val="24"/>
                <w:szCs w:val="24"/>
                <w:u w:val="single"/>
              </w:rPr>
            </w:pPr>
            <w:r w:rsidRPr="00865A7D">
              <w:rPr>
                <w:rFonts w:ascii="Times New Roman" w:hAnsi="Times New Roman" w:cs="Times New Roman"/>
                <w:b/>
                <w:sz w:val="24"/>
                <w:szCs w:val="24"/>
                <w:u w:val="single"/>
              </w:rPr>
              <w:t>Capitali</w:t>
            </w:r>
            <w:r w:rsidR="000028D0" w:rsidRPr="00865A7D">
              <w:rPr>
                <w:rFonts w:ascii="Times New Roman" w:hAnsi="Times New Roman" w:cs="Times New Roman"/>
                <w:b/>
                <w:sz w:val="24"/>
                <w:szCs w:val="24"/>
                <w:u w:val="single"/>
              </w:rPr>
              <w:t>z</w:t>
            </w:r>
            <w:r w:rsidRPr="00865A7D">
              <w:rPr>
                <w:rFonts w:ascii="Times New Roman" w:hAnsi="Times New Roman" w:cs="Times New Roman"/>
                <w:b/>
                <w:sz w:val="24"/>
                <w:szCs w:val="24"/>
                <w:u w:val="single"/>
              </w:rPr>
              <w:t>ers</w:t>
            </w:r>
          </w:p>
        </w:tc>
        <w:tc>
          <w:tcPr>
            <w:tcW w:w="3324" w:type="dxa"/>
            <w:gridSpan w:val="3"/>
            <w:tcBorders>
              <w:top w:val="single" w:sz="4" w:space="0" w:color="auto"/>
            </w:tcBorders>
          </w:tcPr>
          <w:p w14:paraId="6E41B85A" w14:textId="6793E302" w:rsidR="00D4469A" w:rsidRPr="00865A7D" w:rsidRDefault="00D4469A" w:rsidP="009F1A66">
            <w:pPr>
              <w:ind w:left="-358"/>
              <w:jc w:val="center"/>
              <w:rPr>
                <w:rFonts w:ascii="Times New Roman" w:hAnsi="Times New Roman" w:cs="Times New Roman"/>
                <w:b/>
                <w:sz w:val="24"/>
                <w:szCs w:val="24"/>
                <w:u w:val="single"/>
              </w:rPr>
            </w:pPr>
            <w:r w:rsidRPr="00865A7D">
              <w:rPr>
                <w:rFonts w:ascii="Times New Roman" w:hAnsi="Times New Roman" w:cs="Times New Roman"/>
                <w:b/>
                <w:sz w:val="24"/>
                <w:szCs w:val="24"/>
                <w:u w:val="single"/>
              </w:rPr>
              <w:t>Switchers</w:t>
            </w:r>
          </w:p>
        </w:tc>
      </w:tr>
      <w:tr w:rsidR="00D4469A" w:rsidRPr="00423572" w14:paraId="090664F8" w14:textId="77777777" w:rsidTr="00233DB1">
        <w:trPr>
          <w:jc w:val="center"/>
        </w:trPr>
        <w:tc>
          <w:tcPr>
            <w:tcW w:w="2376" w:type="dxa"/>
            <w:tcBorders>
              <w:bottom w:val="single" w:sz="4" w:space="0" w:color="auto"/>
            </w:tcBorders>
          </w:tcPr>
          <w:p w14:paraId="410F48A5" w14:textId="77777777" w:rsidR="00D4469A" w:rsidRPr="00865A7D" w:rsidRDefault="00D4469A" w:rsidP="00D4469A">
            <w:pPr>
              <w:rPr>
                <w:rFonts w:ascii="Times New Roman" w:hAnsi="Times New Roman" w:cs="Times New Roman"/>
                <w:b/>
                <w:sz w:val="24"/>
                <w:szCs w:val="24"/>
              </w:rPr>
            </w:pPr>
          </w:p>
        </w:tc>
        <w:tc>
          <w:tcPr>
            <w:tcW w:w="1701" w:type="dxa"/>
            <w:tcBorders>
              <w:bottom w:val="single" w:sz="4" w:space="0" w:color="auto"/>
            </w:tcBorders>
          </w:tcPr>
          <w:p w14:paraId="0262C766" w14:textId="081B4E6C" w:rsidR="00D4469A" w:rsidRPr="00865A7D" w:rsidRDefault="00D4469A" w:rsidP="00ED11BD">
            <w:pPr>
              <w:jc w:val="right"/>
              <w:rPr>
                <w:rFonts w:ascii="Times New Roman" w:hAnsi="Times New Roman" w:cs="Times New Roman"/>
                <w:b/>
                <w:sz w:val="24"/>
                <w:szCs w:val="24"/>
              </w:rPr>
            </w:pPr>
            <w:r w:rsidRPr="00865A7D">
              <w:rPr>
                <w:rFonts w:ascii="Times New Roman" w:hAnsi="Times New Roman" w:cs="Times New Roman"/>
                <w:b/>
                <w:sz w:val="24"/>
                <w:szCs w:val="24"/>
              </w:rPr>
              <w:t>Mean</w:t>
            </w:r>
          </w:p>
        </w:tc>
        <w:tc>
          <w:tcPr>
            <w:tcW w:w="1168" w:type="dxa"/>
            <w:gridSpan w:val="2"/>
            <w:tcBorders>
              <w:bottom w:val="single" w:sz="4" w:space="0" w:color="auto"/>
            </w:tcBorders>
          </w:tcPr>
          <w:p w14:paraId="22884549" w14:textId="0AA88FA4" w:rsidR="00D4469A" w:rsidRPr="00865A7D" w:rsidRDefault="00D4469A" w:rsidP="00ED11BD">
            <w:pPr>
              <w:jc w:val="right"/>
              <w:rPr>
                <w:rFonts w:ascii="Times New Roman" w:hAnsi="Times New Roman" w:cs="Times New Roman"/>
                <w:b/>
                <w:sz w:val="24"/>
                <w:szCs w:val="24"/>
              </w:rPr>
            </w:pPr>
          </w:p>
        </w:tc>
        <w:tc>
          <w:tcPr>
            <w:tcW w:w="675" w:type="dxa"/>
            <w:tcBorders>
              <w:bottom w:val="single" w:sz="4" w:space="0" w:color="auto"/>
            </w:tcBorders>
          </w:tcPr>
          <w:p w14:paraId="60D6C1F5" w14:textId="2663D3F8" w:rsidR="00D4469A" w:rsidRPr="00865A7D" w:rsidRDefault="00D4469A" w:rsidP="00561EE4">
            <w:pPr>
              <w:jc w:val="center"/>
              <w:rPr>
                <w:rFonts w:ascii="Times New Roman" w:hAnsi="Times New Roman" w:cs="Times New Roman"/>
                <w:b/>
                <w:sz w:val="24"/>
                <w:szCs w:val="24"/>
              </w:rPr>
            </w:pPr>
          </w:p>
        </w:tc>
        <w:tc>
          <w:tcPr>
            <w:tcW w:w="1700" w:type="dxa"/>
            <w:tcBorders>
              <w:bottom w:val="single" w:sz="4" w:space="0" w:color="auto"/>
            </w:tcBorders>
          </w:tcPr>
          <w:p w14:paraId="29DBCCF1" w14:textId="3408E072" w:rsidR="00D4469A" w:rsidRPr="00865A7D" w:rsidRDefault="00D4469A" w:rsidP="00ED11BD">
            <w:pPr>
              <w:jc w:val="right"/>
              <w:rPr>
                <w:rFonts w:ascii="Times New Roman" w:hAnsi="Times New Roman" w:cs="Times New Roman"/>
                <w:b/>
                <w:sz w:val="24"/>
                <w:szCs w:val="24"/>
              </w:rPr>
            </w:pPr>
            <w:r w:rsidRPr="00865A7D">
              <w:rPr>
                <w:rFonts w:ascii="Times New Roman" w:hAnsi="Times New Roman" w:cs="Times New Roman"/>
                <w:b/>
                <w:sz w:val="24"/>
                <w:szCs w:val="24"/>
              </w:rPr>
              <w:t>Mean</w:t>
            </w:r>
          </w:p>
        </w:tc>
        <w:tc>
          <w:tcPr>
            <w:tcW w:w="1169" w:type="dxa"/>
            <w:tcBorders>
              <w:bottom w:val="single" w:sz="4" w:space="0" w:color="auto"/>
            </w:tcBorders>
          </w:tcPr>
          <w:p w14:paraId="7051F378" w14:textId="7F9B413E" w:rsidR="00D4469A" w:rsidRPr="00865A7D" w:rsidRDefault="00D4469A" w:rsidP="00ED11BD">
            <w:pPr>
              <w:jc w:val="right"/>
              <w:rPr>
                <w:rFonts w:ascii="Times New Roman" w:hAnsi="Times New Roman" w:cs="Times New Roman"/>
                <w:b/>
                <w:sz w:val="24"/>
                <w:szCs w:val="24"/>
              </w:rPr>
            </w:pPr>
          </w:p>
        </w:tc>
        <w:tc>
          <w:tcPr>
            <w:tcW w:w="455" w:type="dxa"/>
            <w:tcBorders>
              <w:bottom w:val="single" w:sz="4" w:space="0" w:color="auto"/>
            </w:tcBorders>
          </w:tcPr>
          <w:p w14:paraId="12F62C19" w14:textId="3342D867" w:rsidR="00D4469A" w:rsidRPr="00423572" w:rsidRDefault="00D4469A" w:rsidP="00561EE4">
            <w:pPr>
              <w:jc w:val="center"/>
              <w:rPr>
                <w:rFonts w:ascii="Times New Roman" w:hAnsi="Times New Roman" w:cs="Times New Roman"/>
                <w:sz w:val="24"/>
                <w:szCs w:val="24"/>
              </w:rPr>
            </w:pPr>
          </w:p>
        </w:tc>
      </w:tr>
      <w:tr w:rsidR="00D4469A" w:rsidRPr="00423572" w14:paraId="4FFCFC25" w14:textId="77777777" w:rsidTr="00233DB1">
        <w:trPr>
          <w:trHeight w:val="415"/>
          <w:jc w:val="center"/>
        </w:trPr>
        <w:tc>
          <w:tcPr>
            <w:tcW w:w="9244" w:type="dxa"/>
            <w:gridSpan w:val="8"/>
            <w:tcBorders>
              <w:top w:val="single" w:sz="4" w:space="0" w:color="auto"/>
            </w:tcBorders>
          </w:tcPr>
          <w:p w14:paraId="555C462C" w14:textId="162F11AA" w:rsidR="00D4469A" w:rsidRPr="00865A7D" w:rsidRDefault="00D4469A" w:rsidP="00C65422">
            <w:pPr>
              <w:rPr>
                <w:rFonts w:ascii="Times New Roman" w:hAnsi="Times New Roman" w:cs="Times New Roman"/>
                <w:b/>
                <w:sz w:val="24"/>
                <w:szCs w:val="24"/>
              </w:rPr>
            </w:pPr>
            <w:r w:rsidRPr="00865A7D">
              <w:rPr>
                <w:rFonts w:ascii="Times New Roman" w:hAnsi="Times New Roman" w:cs="Times New Roman"/>
                <w:b/>
                <w:sz w:val="24"/>
                <w:szCs w:val="24"/>
              </w:rPr>
              <w:t>Unbalanced treatment and control groups</w:t>
            </w:r>
          </w:p>
        </w:tc>
      </w:tr>
      <w:tr w:rsidR="00D4469A" w:rsidRPr="00423572" w14:paraId="6F73DFB3" w14:textId="77777777" w:rsidTr="00233DB1">
        <w:trPr>
          <w:jc w:val="center"/>
        </w:trPr>
        <w:tc>
          <w:tcPr>
            <w:tcW w:w="2376" w:type="dxa"/>
          </w:tcPr>
          <w:p w14:paraId="37620271" w14:textId="0222F059" w:rsidR="00D4469A" w:rsidRPr="00423572" w:rsidRDefault="00B77127" w:rsidP="00D4469A">
            <w:pPr>
              <w:rPr>
                <w:rFonts w:ascii="Times New Roman" w:hAnsi="Times New Roman" w:cs="Times New Roman"/>
                <w:sz w:val="24"/>
                <w:szCs w:val="24"/>
              </w:rPr>
            </w:pPr>
            <w:bookmarkStart w:id="15" w:name="_Hlk25929847"/>
            <w:r>
              <w:rPr>
                <w:rFonts w:ascii="Times New Roman" w:hAnsi="Times New Roman" w:cs="Times New Roman"/>
                <w:sz w:val="24"/>
                <w:szCs w:val="24"/>
              </w:rPr>
              <w:t>MVE</w:t>
            </w:r>
          </w:p>
        </w:tc>
        <w:tc>
          <w:tcPr>
            <w:tcW w:w="1701" w:type="dxa"/>
          </w:tcPr>
          <w:p w14:paraId="46046B36" w14:textId="42238998" w:rsidR="00D4469A" w:rsidRPr="00423572" w:rsidRDefault="00BD75E5" w:rsidP="00ED11BD">
            <w:pPr>
              <w:jc w:val="right"/>
              <w:rPr>
                <w:rFonts w:ascii="Times New Roman" w:hAnsi="Times New Roman" w:cs="Times New Roman"/>
                <w:sz w:val="24"/>
                <w:szCs w:val="24"/>
              </w:rPr>
            </w:pPr>
            <w:r>
              <w:rPr>
                <w:rFonts w:ascii="Times New Roman" w:hAnsi="Times New Roman" w:cs="Times New Roman"/>
                <w:sz w:val="24"/>
                <w:szCs w:val="24"/>
              </w:rPr>
              <w:t>4.6330</w:t>
            </w:r>
          </w:p>
        </w:tc>
        <w:tc>
          <w:tcPr>
            <w:tcW w:w="1134" w:type="dxa"/>
          </w:tcPr>
          <w:p w14:paraId="3291DF5E" w14:textId="57BE2115" w:rsidR="00D4469A" w:rsidRPr="00423572" w:rsidRDefault="00D4469A" w:rsidP="009B0CF6">
            <w:pPr>
              <w:jc w:val="center"/>
              <w:rPr>
                <w:rFonts w:ascii="Times New Roman" w:hAnsi="Times New Roman" w:cs="Times New Roman"/>
                <w:sz w:val="24"/>
                <w:szCs w:val="24"/>
              </w:rPr>
            </w:pPr>
          </w:p>
        </w:tc>
        <w:tc>
          <w:tcPr>
            <w:tcW w:w="709" w:type="dxa"/>
            <w:gridSpan w:val="2"/>
          </w:tcPr>
          <w:p w14:paraId="2132F071" w14:textId="2874B85C" w:rsidR="00D4469A" w:rsidRPr="00423572" w:rsidRDefault="00D4469A" w:rsidP="009B0CF6">
            <w:pPr>
              <w:jc w:val="center"/>
              <w:rPr>
                <w:rFonts w:ascii="Times New Roman" w:hAnsi="Times New Roman" w:cs="Times New Roman"/>
                <w:sz w:val="24"/>
                <w:szCs w:val="24"/>
              </w:rPr>
            </w:pPr>
          </w:p>
        </w:tc>
        <w:tc>
          <w:tcPr>
            <w:tcW w:w="1700" w:type="dxa"/>
          </w:tcPr>
          <w:p w14:paraId="3A3EE9FB" w14:textId="68626036" w:rsidR="00D4469A" w:rsidRPr="00423572" w:rsidRDefault="00BD75E5" w:rsidP="00ED11BD">
            <w:pPr>
              <w:jc w:val="right"/>
              <w:rPr>
                <w:rFonts w:ascii="Times New Roman" w:hAnsi="Times New Roman" w:cs="Times New Roman"/>
                <w:sz w:val="24"/>
                <w:szCs w:val="24"/>
              </w:rPr>
            </w:pPr>
            <w:r>
              <w:rPr>
                <w:rFonts w:ascii="Times New Roman" w:hAnsi="Times New Roman" w:cs="Times New Roman"/>
                <w:sz w:val="24"/>
                <w:szCs w:val="24"/>
              </w:rPr>
              <w:t>3.5380</w:t>
            </w:r>
          </w:p>
        </w:tc>
        <w:tc>
          <w:tcPr>
            <w:tcW w:w="1169" w:type="dxa"/>
          </w:tcPr>
          <w:p w14:paraId="1AA30E3D" w14:textId="05E7CD9E" w:rsidR="00D4469A" w:rsidRPr="00423572" w:rsidRDefault="00D4469A" w:rsidP="005D7E16">
            <w:pPr>
              <w:jc w:val="center"/>
              <w:rPr>
                <w:rFonts w:ascii="Times New Roman" w:hAnsi="Times New Roman" w:cs="Times New Roman"/>
                <w:sz w:val="24"/>
                <w:szCs w:val="24"/>
              </w:rPr>
            </w:pPr>
          </w:p>
        </w:tc>
        <w:tc>
          <w:tcPr>
            <w:tcW w:w="455" w:type="dxa"/>
          </w:tcPr>
          <w:p w14:paraId="7C65FBA5" w14:textId="2674B4AC" w:rsidR="00D4469A" w:rsidRPr="00423572" w:rsidRDefault="00D4469A" w:rsidP="00D4469A">
            <w:pPr>
              <w:rPr>
                <w:rFonts w:ascii="Times New Roman" w:hAnsi="Times New Roman" w:cs="Times New Roman"/>
                <w:sz w:val="24"/>
                <w:szCs w:val="24"/>
              </w:rPr>
            </w:pPr>
          </w:p>
        </w:tc>
      </w:tr>
      <w:tr w:rsidR="00D4469A" w:rsidRPr="00423572" w14:paraId="23F2CF1E" w14:textId="77777777" w:rsidTr="00233DB1">
        <w:trPr>
          <w:jc w:val="center"/>
        </w:trPr>
        <w:tc>
          <w:tcPr>
            <w:tcW w:w="2376" w:type="dxa"/>
          </w:tcPr>
          <w:p w14:paraId="4B59D27C" w14:textId="73E075AB" w:rsidR="00D4469A" w:rsidRPr="00423572" w:rsidRDefault="00C37583" w:rsidP="00C37583">
            <w:pPr>
              <w:rPr>
                <w:rFonts w:ascii="Times New Roman" w:hAnsi="Times New Roman" w:cs="Times New Roman"/>
                <w:sz w:val="24"/>
                <w:szCs w:val="24"/>
              </w:rPr>
            </w:pPr>
            <w:r>
              <w:rPr>
                <w:rFonts w:ascii="Times New Roman" w:hAnsi="Times New Roman" w:cs="Times New Roman"/>
                <w:sz w:val="24"/>
                <w:szCs w:val="24"/>
              </w:rPr>
              <w:t>RD/TA</w:t>
            </w:r>
          </w:p>
        </w:tc>
        <w:tc>
          <w:tcPr>
            <w:tcW w:w="1701" w:type="dxa"/>
          </w:tcPr>
          <w:p w14:paraId="4FECADA5" w14:textId="2111E936" w:rsidR="00D4469A" w:rsidRPr="00423572" w:rsidRDefault="00B77127" w:rsidP="00ED11BD">
            <w:pPr>
              <w:jc w:val="right"/>
              <w:rPr>
                <w:rFonts w:ascii="Times New Roman" w:hAnsi="Times New Roman" w:cs="Times New Roman"/>
                <w:sz w:val="24"/>
                <w:szCs w:val="24"/>
              </w:rPr>
            </w:pPr>
            <w:r>
              <w:rPr>
                <w:rFonts w:ascii="Times New Roman" w:hAnsi="Times New Roman" w:cs="Times New Roman"/>
                <w:sz w:val="24"/>
                <w:szCs w:val="24"/>
              </w:rPr>
              <w:t>0.</w:t>
            </w:r>
            <w:r w:rsidR="00BD75E5">
              <w:rPr>
                <w:rFonts w:ascii="Times New Roman" w:hAnsi="Times New Roman" w:cs="Times New Roman"/>
                <w:sz w:val="24"/>
                <w:szCs w:val="24"/>
              </w:rPr>
              <w:t>0781</w:t>
            </w:r>
          </w:p>
        </w:tc>
        <w:tc>
          <w:tcPr>
            <w:tcW w:w="1134" w:type="dxa"/>
          </w:tcPr>
          <w:p w14:paraId="45CE8189" w14:textId="29AA4147" w:rsidR="00D4469A" w:rsidRPr="00423572" w:rsidRDefault="00D4469A" w:rsidP="009B0CF6">
            <w:pPr>
              <w:jc w:val="center"/>
              <w:rPr>
                <w:rFonts w:ascii="Times New Roman" w:hAnsi="Times New Roman" w:cs="Times New Roman"/>
                <w:sz w:val="24"/>
                <w:szCs w:val="24"/>
              </w:rPr>
            </w:pPr>
          </w:p>
        </w:tc>
        <w:tc>
          <w:tcPr>
            <w:tcW w:w="709" w:type="dxa"/>
            <w:gridSpan w:val="2"/>
          </w:tcPr>
          <w:p w14:paraId="1E4C4282" w14:textId="1A11A8F6" w:rsidR="00D4469A" w:rsidRPr="00423572" w:rsidRDefault="00D4469A" w:rsidP="009B0CF6">
            <w:pPr>
              <w:jc w:val="center"/>
              <w:rPr>
                <w:rFonts w:ascii="Times New Roman" w:hAnsi="Times New Roman" w:cs="Times New Roman"/>
                <w:sz w:val="24"/>
                <w:szCs w:val="24"/>
              </w:rPr>
            </w:pPr>
          </w:p>
        </w:tc>
        <w:tc>
          <w:tcPr>
            <w:tcW w:w="1700" w:type="dxa"/>
          </w:tcPr>
          <w:p w14:paraId="6EA0319E" w14:textId="472C7E2E" w:rsidR="00D4469A" w:rsidRPr="00423572" w:rsidRDefault="00B77127" w:rsidP="00ED11BD">
            <w:pPr>
              <w:jc w:val="right"/>
              <w:rPr>
                <w:rFonts w:ascii="Times New Roman" w:hAnsi="Times New Roman" w:cs="Times New Roman"/>
                <w:sz w:val="24"/>
                <w:szCs w:val="24"/>
              </w:rPr>
            </w:pPr>
            <w:r>
              <w:rPr>
                <w:rFonts w:ascii="Times New Roman" w:hAnsi="Times New Roman" w:cs="Times New Roman"/>
                <w:sz w:val="24"/>
                <w:szCs w:val="24"/>
              </w:rPr>
              <w:t>0.</w:t>
            </w:r>
            <w:r w:rsidR="00BD75E5">
              <w:rPr>
                <w:rFonts w:ascii="Times New Roman" w:hAnsi="Times New Roman" w:cs="Times New Roman"/>
                <w:sz w:val="24"/>
                <w:szCs w:val="24"/>
              </w:rPr>
              <w:t>1101</w:t>
            </w:r>
          </w:p>
        </w:tc>
        <w:tc>
          <w:tcPr>
            <w:tcW w:w="1169" w:type="dxa"/>
          </w:tcPr>
          <w:p w14:paraId="129C63AD" w14:textId="52EED82D" w:rsidR="00D4469A" w:rsidRPr="00423572" w:rsidRDefault="00D4469A" w:rsidP="005D7E16">
            <w:pPr>
              <w:jc w:val="center"/>
              <w:rPr>
                <w:rFonts w:ascii="Times New Roman" w:hAnsi="Times New Roman" w:cs="Times New Roman"/>
                <w:sz w:val="24"/>
                <w:szCs w:val="24"/>
              </w:rPr>
            </w:pPr>
          </w:p>
        </w:tc>
        <w:tc>
          <w:tcPr>
            <w:tcW w:w="455" w:type="dxa"/>
          </w:tcPr>
          <w:p w14:paraId="14A89F45" w14:textId="56368610" w:rsidR="00D4469A" w:rsidRPr="00423572" w:rsidRDefault="00D4469A" w:rsidP="00D4469A">
            <w:pPr>
              <w:rPr>
                <w:rFonts w:ascii="Times New Roman" w:hAnsi="Times New Roman" w:cs="Times New Roman"/>
                <w:sz w:val="24"/>
                <w:szCs w:val="24"/>
              </w:rPr>
            </w:pPr>
          </w:p>
        </w:tc>
      </w:tr>
      <w:tr w:rsidR="00D4469A" w:rsidRPr="00423572" w14:paraId="3B0A522B" w14:textId="77777777" w:rsidTr="00233DB1">
        <w:trPr>
          <w:jc w:val="center"/>
        </w:trPr>
        <w:tc>
          <w:tcPr>
            <w:tcW w:w="2376" w:type="dxa"/>
          </w:tcPr>
          <w:p w14:paraId="35007C74" w14:textId="27FD9D7F" w:rsidR="00D4469A" w:rsidRPr="00423572" w:rsidRDefault="00D4469A" w:rsidP="00D4469A">
            <w:pPr>
              <w:rPr>
                <w:rFonts w:ascii="Times New Roman" w:hAnsi="Times New Roman" w:cs="Times New Roman"/>
                <w:sz w:val="24"/>
                <w:szCs w:val="24"/>
              </w:rPr>
            </w:pPr>
            <w:r>
              <w:rPr>
                <w:rFonts w:ascii="Times New Roman" w:hAnsi="Times New Roman" w:cs="Times New Roman"/>
                <w:sz w:val="24"/>
                <w:szCs w:val="24"/>
              </w:rPr>
              <w:t>LEV</w:t>
            </w:r>
          </w:p>
        </w:tc>
        <w:tc>
          <w:tcPr>
            <w:tcW w:w="1701" w:type="dxa"/>
          </w:tcPr>
          <w:p w14:paraId="6EB33DB6" w14:textId="1C180B2A" w:rsidR="00D4469A" w:rsidRPr="00423572" w:rsidRDefault="00D4469A" w:rsidP="00ED11BD">
            <w:pPr>
              <w:jc w:val="right"/>
              <w:rPr>
                <w:rFonts w:ascii="Times New Roman" w:hAnsi="Times New Roman" w:cs="Times New Roman"/>
                <w:sz w:val="24"/>
                <w:szCs w:val="24"/>
              </w:rPr>
            </w:pPr>
            <w:r w:rsidRPr="00423572">
              <w:rPr>
                <w:rFonts w:ascii="Times New Roman" w:hAnsi="Times New Roman" w:cs="Times New Roman"/>
                <w:sz w:val="24"/>
                <w:szCs w:val="24"/>
              </w:rPr>
              <w:t>0.</w:t>
            </w:r>
            <w:r w:rsidR="00BD75E5">
              <w:rPr>
                <w:rFonts w:ascii="Times New Roman" w:hAnsi="Times New Roman" w:cs="Times New Roman"/>
                <w:sz w:val="24"/>
                <w:szCs w:val="24"/>
              </w:rPr>
              <w:t>2551</w:t>
            </w:r>
          </w:p>
        </w:tc>
        <w:tc>
          <w:tcPr>
            <w:tcW w:w="1134" w:type="dxa"/>
          </w:tcPr>
          <w:p w14:paraId="6D536B92" w14:textId="0BDF41B4" w:rsidR="00D4469A" w:rsidRPr="00423572" w:rsidRDefault="00D4469A" w:rsidP="009B0CF6">
            <w:pPr>
              <w:jc w:val="center"/>
              <w:rPr>
                <w:rFonts w:ascii="Times New Roman" w:hAnsi="Times New Roman" w:cs="Times New Roman"/>
                <w:sz w:val="24"/>
                <w:szCs w:val="24"/>
              </w:rPr>
            </w:pPr>
          </w:p>
        </w:tc>
        <w:tc>
          <w:tcPr>
            <w:tcW w:w="709" w:type="dxa"/>
            <w:gridSpan w:val="2"/>
          </w:tcPr>
          <w:p w14:paraId="3452B501" w14:textId="328BA9DA" w:rsidR="00D4469A" w:rsidRPr="00423572" w:rsidRDefault="00D4469A" w:rsidP="009B0CF6">
            <w:pPr>
              <w:jc w:val="center"/>
              <w:rPr>
                <w:rFonts w:ascii="Times New Roman" w:hAnsi="Times New Roman" w:cs="Times New Roman"/>
                <w:sz w:val="24"/>
                <w:szCs w:val="24"/>
              </w:rPr>
            </w:pPr>
          </w:p>
        </w:tc>
        <w:tc>
          <w:tcPr>
            <w:tcW w:w="1700" w:type="dxa"/>
          </w:tcPr>
          <w:p w14:paraId="63F6AFAB" w14:textId="61711230" w:rsidR="00D4469A" w:rsidRPr="00423572" w:rsidRDefault="00B77127" w:rsidP="00ED11BD">
            <w:pPr>
              <w:jc w:val="right"/>
              <w:rPr>
                <w:rFonts w:ascii="Times New Roman" w:hAnsi="Times New Roman" w:cs="Times New Roman"/>
                <w:sz w:val="24"/>
                <w:szCs w:val="24"/>
              </w:rPr>
            </w:pPr>
            <w:r>
              <w:rPr>
                <w:rFonts w:ascii="Times New Roman" w:hAnsi="Times New Roman" w:cs="Times New Roman"/>
                <w:sz w:val="24"/>
                <w:szCs w:val="24"/>
              </w:rPr>
              <w:t>0.</w:t>
            </w:r>
            <w:r w:rsidR="00BD75E5">
              <w:rPr>
                <w:rFonts w:ascii="Times New Roman" w:hAnsi="Times New Roman" w:cs="Times New Roman"/>
                <w:sz w:val="24"/>
                <w:szCs w:val="24"/>
              </w:rPr>
              <w:t>4054</w:t>
            </w:r>
          </w:p>
        </w:tc>
        <w:tc>
          <w:tcPr>
            <w:tcW w:w="1169" w:type="dxa"/>
          </w:tcPr>
          <w:p w14:paraId="09BE17D4" w14:textId="7D5CF614" w:rsidR="00D4469A" w:rsidRPr="00423572" w:rsidRDefault="00D4469A" w:rsidP="005D7E16">
            <w:pPr>
              <w:ind w:left="-31" w:firstLine="31"/>
              <w:jc w:val="center"/>
              <w:rPr>
                <w:rFonts w:ascii="Times New Roman" w:hAnsi="Times New Roman" w:cs="Times New Roman"/>
                <w:sz w:val="24"/>
                <w:szCs w:val="24"/>
              </w:rPr>
            </w:pPr>
          </w:p>
        </w:tc>
        <w:tc>
          <w:tcPr>
            <w:tcW w:w="455" w:type="dxa"/>
          </w:tcPr>
          <w:p w14:paraId="5CA4D849" w14:textId="04C1EFD4" w:rsidR="00D4469A" w:rsidRPr="00423572" w:rsidRDefault="00D4469A" w:rsidP="00D4469A">
            <w:pPr>
              <w:rPr>
                <w:rFonts w:ascii="Times New Roman" w:hAnsi="Times New Roman" w:cs="Times New Roman"/>
                <w:sz w:val="24"/>
                <w:szCs w:val="24"/>
              </w:rPr>
            </w:pPr>
          </w:p>
        </w:tc>
      </w:tr>
      <w:tr w:rsidR="00D4469A" w:rsidRPr="00423572" w14:paraId="27AE6C15" w14:textId="77777777" w:rsidTr="00233DB1">
        <w:trPr>
          <w:jc w:val="center"/>
        </w:trPr>
        <w:tc>
          <w:tcPr>
            <w:tcW w:w="2376" w:type="dxa"/>
          </w:tcPr>
          <w:p w14:paraId="4B061FCC" w14:textId="7A82347E" w:rsidR="00D4469A" w:rsidRPr="00423572" w:rsidRDefault="00D4469A" w:rsidP="00D4469A">
            <w:pPr>
              <w:rPr>
                <w:rFonts w:ascii="Times New Roman" w:hAnsi="Times New Roman" w:cs="Times New Roman"/>
                <w:sz w:val="24"/>
                <w:szCs w:val="24"/>
              </w:rPr>
            </w:pPr>
            <w:r>
              <w:rPr>
                <w:rFonts w:ascii="Times New Roman" w:hAnsi="Times New Roman" w:cs="Times New Roman"/>
                <w:sz w:val="24"/>
                <w:szCs w:val="24"/>
              </w:rPr>
              <w:t>AGE</w:t>
            </w:r>
          </w:p>
        </w:tc>
        <w:tc>
          <w:tcPr>
            <w:tcW w:w="1701" w:type="dxa"/>
          </w:tcPr>
          <w:p w14:paraId="44FEB5B1" w14:textId="573A7DA2" w:rsidR="00D4469A" w:rsidRPr="00423572" w:rsidRDefault="00BD75E5" w:rsidP="00ED11BD">
            <w:pPr>
              <w:jc w:val="right"/>
              <w:rPr>
                <w:rFonts w:ascii="Times New Roman" w:hAnsi="Times New Roman" w:cs="Times New Roman"/>
                <w:sz w:val="24"/>
                <w:szCs w:val="24"/>
              </w:rPr>
            </w:pPr>
            <w:r>
              <w:rPr>
                <w:rFonts w:ascii="Times New Roman" w:hAnsi="Times New Roman" w:cs="Times New Roman"/>
                <w:sz w:val="24"/>
                <w:szCs w:val="24"/>
              </w:rPr>
              <w:t>35.4300</w:t>
            </w:r>
          </w:p>
        </w:tc>
        <w:tc>
          <w:tcPr>
            <w:tcW w:w="1134" w:type="dxa"/>
          </w:tcPr>
          <w:p w14:paraId="7A8D264E" w14:textId="6B7562FB" w:rsidR="00D4469A" w:rsidRPr="00423572" w:rsidRDefault="00D4469A" w:rsidP="009B0CF6">
            <w:pPr>
              <w:jc w:val="center"/>
              <w:rPr>
                <w:rFonts w:ascii="Times New Roman" w:hAnsi="Times New Roman" w:cs="Times New Roman"/>
                <w:sz w:val="24"/>
                <w:szCs w:val="24"/>
              </w:rPr>
            </w:pPr>
          </w:p>
        </w:tc>
        <w:tc>
          <w:tcPr>
            <w:tcW w:w="709" w:type="dxa"/>
            <w:gridSpan w:val="2"/>
          </w:tcPr>
          <w:p w14:paraId="14038AD4" w14:textId="77777777" w:rsidR="00D4469A" w:rsidRPr="00423572" w:rsidRDefault="00D4469A" w:rsidP="009B0CF6">
            <w:pPr>
              <w:jc w:val="center"/>
              <w:rPr>
                <w:rFonts w:ascii="Times New Roman" w:hAnsi="Times New Roman" w:cs="Times New Roman"/>
                <w:sz w:val="24"/>
                <w:szCs w:val="24"/>
              </w:rPr>
            </w:pPr>
          </w:p>
        </w:tc>
        <w:tc>
          <w:tcPr>
            <w:tcW w:w="1700" w:type="dxa"/>
          </w:tcPr>
          <w:p w14:paraId="66F1B0AB" w14:textId="6AAFC4EA" w:rsidR="00D4469A" w:rsidRPr="00423572" w:rsidRDefault="00BD75E5" w:rsidP="00ED11BD">
            <w:pPr>
              <w:jc w:val="right"/>
              <w:rPr>
                <w:rFonts w:ascii="Times New Roman" w:hAnsi="Times New Roman" w:cs="Times New Roman"/>
                <w:sz w:val="24"/>
                <w:szCs w:val="24"/>
              </w:rPr>
            </w:pPr>
            <w:r>
              <w:rPr>
                <w:rFonts w:ascii="Times New Roman" w:hAnsi="Times New Roman" w:cs="Times New Roman"/>
                <w:sz w:val="24"/>
                <w:szCs w:val="24"/>
              </w:rPr>
              <w:t>32.2700</w:t>
            </w:r>
          </w:p>
        </w:tc>
        <w:tc>
          <w:tcPr>
            <w:tcW w:w="1169" w:type="dxa"/>
          </w:tcPr>
          <w:p w14:paraId="61137F2A" w14:textId="3297BD71" w:rsidR="00D4469A" w:rsidRPr="00423572" w:rsidRDefault="00D4469A" w:rsidP="005D7E16">
            <w:pPr>
              <w:ind w:left="-31" w:firstLine="31"/>
              <w:jc w:val="center"/>
              <w:rPr>
                <w:rFonts w:ascii="Times New Roman" w:hAnsi="Times New Roman" w:cs="Times New Roman"/>
                <w:sz w:val="24"/>
                <w:szCs w:val="24"/>
              </w:rPr>
            </w:pPr>
          </w:p>
        </w:tc>
        <w:tc>
          <w:tcPr>
            <w:tcW w:w="455" w:type="dxa"/>
          </w:tcPr>
          <w:p w14:paraId="44024F71" w14:textId="77777777" w:rsidR="00D4469A" w:rsidRPr="00423572" w:rsidRDefault="00D4469A" w:rsidP="00D4469A">
            <w:pPr>
              <w:rPr>
                <w:rFonts w:ascii="Times New Roman" w:hAnsi="Times New Roman" w:cs="Times New Roman"/>
                <w:sz w:val="24"/>
                <w:szCs w:val="24"/>
              </w:rPr>
            </w:pPr>
          </w:p>
        </w:tc>
      </w:tr>
      <w:tr w:rsidR="00D4469A" w:rsidRPr="00423572" w14:paraId="7372A3E7" w14:textId="77777777" w:rsidTr="00233DB1">
        <w:trPr>
          <w:jc w:val="center"/>
        </w:trPr>
        <w:tc>
          <w:tcPr>
            <w:tcW w:w="2376" w:type="dxa"/>
          </w:tcPr>
          <w:p w14:paraId="697526C9" w14:textId="7024CAC5" w:rsidR="00D4469A" w:rsidRPr="00423572" w:rsidRDefault="00D4469A" w:rsidP="00D4469A">
            <w:pPr>
              <w:rPr>
                <w:rFonts w:ascii="Times New Roman" w:hAnsi="Times New Roman" w:cs="Times New Roman"/>
                <w:sz w:val="24"/>
                <w:szCs w:val="24"/>
              </w:rPr>
            </w:pPr>
            <w:r>
              <w:rPr>
                <w:rFonts w:ascii="Times New Roman" w:hAnsi="Times New Roman" w:cs="Times New Roman"/>
                <w:sz w:val="24"/>
                <w:szCs w:val="24"/>
              </w:rPr>
              <w:t>STATE</w:t>
            </w:r>
          </w:p>
        </w:tc>
        <w:tc>
          <w:tcPr>
            <w:tcW w:w="1701" w:type="dxa"/>
          </w:tcPr>
          <w:p w14:paraId="4E5DDFF5" w14:textId="74224582" w:rsidR="00D4469A" w:rsidRPr="00423572" w:rsidRDefault="00D4469A" w:rsidP="00ED11BD">
            <w:pPr>
              <w:jc w:val="right"/>
              <w:rPr>
                <w:rFonts w:ascii="Times New Roman" w:hAnsi="Times New Roman" w:cs="Times New Roman"/>
                <w:sz w:val="24"/>
                <w:szCs w:val="24"/>
              </w:rPr>
            </w:pPr>
            <w:r>
              <w:rPr>
                <w:rFonts w:ascii="Times New Roman" w:hAnsi="Times New Roman" w:cs="Times New Roman"/>
                <w:sz w:val="24"/>
                <w:szCs w:val="24"/>
              </w:rPr>
              <w:t>0.</w:t>
            </w:r>
            <w:r w:rsidR="00B77127">
              <w:rPr>
                <w:rFonts w:ascii="Times New Roman" w:hAnsi="Times New Roman" w:cs="Times New Roman"/>
                <w:sz w:val="24"/>
                <w:szCs w:val="24"/>
              </w:rPr>
              <w:t>4</w:t>
            </w:r>
            <w:r w:rsidR="00BD75E5">
              <w:rPr>
                <w:rFonts w:ascii="Times New Roman" w:hAnsi="Times New Roman" w:cs="Times New Roman"/>
                <w:sz w:val="24"/>
                <w:szCs w:val="24"/>
              </w:rPr>
              <w:t>902</w:t>
            </w:r>
          </w:p>
        </w:tc>
        <w:tc>
          <w:tcPr>
            <w:tcW w:w="1134" w:type="dxa"/>
          </w:tcPr>
          <w:p w14:paraId="0265AC46" w14:textId="49D0C4D5" w:rsidR="00D4469A" w:rsidRPr="00423572" w:rsidRDefault="00D4469A" w:rsidP="009B0CF6">
            <w:pPr>
              <w:jc w:val="center"/>
              <w:rPr>
                <w:rFonts w:ascii="Times New Roman" w:hAnsi="Times New Roman" w:cs="Times New Roman"/>
                <w:sz w:val="24"/>
                <w:szCs w:val="24"/>
              </w:rPr>
            </w:pPr>
          </w:p>
        </w:tc>
        <w:tc>
          <w:tcPr>
            <w:tcW w:w="709" w:type="dxa"/>
            <w:gridSpan w:val="2"/>
          </w:tcPr>
          <w:p w14:paraId="118EACFC" w14:textId="77777777" w:rsidR="00D4469A" w:rsidRPr="00423572" w:rsidRDefault="00D4469A" w:rsidP="009B0CF6">
            <w:pPr>
              <w:jc w:val="center"/>
              <w:rPr>
                <w:rFonts w:ascii="Times New Roman" w:hAnsi="Times New Roman" w:cs="Times New Roman"/>
                <w:sz w:val="24"/>
                <w:szCs w:val="24"/>
              </w:rPr>
            </w:pPr>
          </w:p>
        </w:tc>
        <w:tc>
          <w:tcPr>
            <w:tcW w:w="1700" w:type="dxa"/>
          </w:tcPr>
          <w:p w14:paraId="298EF1D4" w14:textId="61D179C5" w:rsidR="00D4469A" w:rsidRPr="00423572" w:rsidRDefault="002A7AB7" w:rsidP="00ED11BD">
            <w:pPr>
              <w:jc w:val="right"/>
              <w:rPr>
                <w:rFonts w:ascii="Times New Roman" w:hAnsi="Times New Roman" w:cs="Times New Roman"/>
                <w:sz w:val="24"/>
                <w:szCs w:val="24"/>
              </w:rPr>
            </w:pPr>
            <w:r>
              <w:rPr>
                <w:rFonts w:ascii="Times New Roman" w:hAnsi="Times New Roman" w:cs="Times New Roman"/>
                <w:sz w:val="24"/>
                <w:szCs w:val="24"/>
              </w:rPr>
              <w:t>0.</w:t>
            </w:r>
            <w:r w:rsidR="00BD75E5">
              <w:rPr>
                <w:rFonts w:ascii="Times New Roman" w:hAnsi="Times New Roman" w:cs="Times New Roman"/>
                <w:sz w:val="24"/>
                <w:szCs w:val="24"/>
              </w:rPr>
              <w:t>2667</w:t>
            </w:r>
          </w:p>
        </w:tc>
        <w:tc>
          <w:tcPr>
            <w:tcW w:w="1169" w:type="dxa"/>
          </w:tcPr>
          <w:p w14:paraId="6BE017EC" w14:textId="4DA420FB" w:rsidR="00D4469A" w:rsidRPr="00423572" w:rsidRDefault="00D4469A" w:rsidP="005D7E16">
            <w:pPr>
              <w:ind w:left="-31" w:firstLine="31"/>
              <w:jc w:val="center"/>
              <w:rPr>
                <w:rFonts w:ascii="Times New Roman" w:hAnsi="Times New Roman" w:cs="Times New Roman"/>
                <w:sz w:val="24"/>
                <w:szCs w:val="24"/>
              </w:rPr>
            </w:pPr>
          </w:p>
        </w:tc>
        <w:tc>
          <w:tcPr>
            <w:tcW w:w="455" w:type="dxa"/>
          </w:tcPr>
          <w:p w14:paraId="0F02A4A2" w14:textId="77777777" w:rsidR="00D4469A" w:rsidRPr="00423572" w:rsidRDefault="00D4469A" w:rsidP="00D4469A">
            <w:pPr>
              <w:rPr>
                <w:rFonts w:ascii="Times New Roman" w:hAnsi="Times New Roman" w:cs="Times New Roman"/>
                <w:sz w:val="24"/>
                <w:szCs w:val="24"/>
              </w:rPr>
            </w:pPr>
          </w:p>
        </w:tc>
      </w:tr>
      <w:tr w:rsidR="00B77127" w:rsidRPr="00423572" w14:paraId="1156F54D" w14:textId="77777777" w:rsidTr="00233DB1">
        <w:trPr>
          <w:jc w:val="center"/>
        </w:trPr>
        <w:tc>
          <w:tcPr>
            <w:tcW w:w="2376" w:type="dxa"/>
          </w:tcPr>
          <w:p w14:paraId="35616486" w14:textId="500D55D3" w:rsidR="00B77127" w:rsidRDefault="00B77127" w:rsidP="00D4469A">
            <w:pPr>
              <w:rPr>
                <w:rFonts w:ascii="Times New Roman" w:hAnsi="Times New Roman" w:cs="Times New Roman"/>
                <w:sz w:val="24"/>
                <w:szCs w:val="24"/>
              </w:rPr>
            </w:pPr>
            <w:r>
              <w:rPr>
                <w:rFonts w:ascii="Times New Roman" w:hAnsi="Times New Roman" w:cs="Times New Roman"/>
                <w:sz w:val="24"/>
                <w:szCs w:val="24"/>
              </w:rPr>
              <w:t>CAP%</w:t>
            </w:r>
          </w:p>
        </w:tc>
        <w:tc>
          <w:tcPr>
            <w:tcW w:w="1701" w:type="dxa"/>
          </w:tcPr>
          <w:p w14:paraId="745A26B8" w14:textId="3C3969FC" w:rsidR="00B77127" w:rsidRDefault="00B77127" w:rsidP="00ED11BD">
            <w:pPr>
              <w:jc w:val="right"/>
              <w:rPr>
                <w:rFonts w:ascii="Times New Roman" w:hAnsi="Times New Roman" w:cs="Times New Roman"/>
                <w:sz w:val="24"/>
                <w:szCs w:val="24"/>
              </w:rPr>
            </w:pPr>
            <w:r>
              <w:rPr>
                <w:rFonts w:ascii="Times New Roman" w:hAnsi="Times New Roman" w:cs="Times New Roman"/>
                <w:sz w:val="24"/>
                <w:szCs w:val="24"/>
              </w:rPr>
              <w:t>0.</w:t>
            </w:r>
            <w:r w:rsidR="00BD75E5">
              <w:rPr>
                <w:rFonts w:ascii="Times New Roman" w:hAnsi="Times New Roman" w:cs="Times New Roman"/>
                <w:sz w:val="24"/>
                <w:szCs w:val="24"/>
              </w:rPr>
              <w:t>2180</w:t>
            </w:r>
          </w:p>
        </w:tc>
        <w:tc>
          <w:tcPr>
            <w:tcW w:w="1134" w:type="dxa"/>
          </w:tcPr>
          <w:p w14:paraId="418C49F8" w14:textId="77777777" w:rsidR="00B77127" w:rsidDel="00B77127" w:rsidRDefault="00B77127" w:rsidP="009B0CF6">
            <w:pPr>
              <w:jc w:val="center"/>
              <w:rPr>
                <w:rFonts w:ascii="Times New Roman" w:hAnsi="Times New Roman" w:cs="Times New Roman"/>
                <w:sz w:val="24"/>
                <w:szCs w:val="24"/>
              </w:rPr>
            </w:pPr>
          </w:p>
        </w:tc>
        <w:tc>
          <w:tcPr>
            <w:tcW w:w="709" w:type="dxa"/>
            <w:gridSpan w:val="2"/>
          </w:tcPr>
          <w:p w14:paraId="3DFE82F0" w14:textId="77777777" w:rsidR="00B77127" w:rsidRPr="00423572" w:rsidRDefault="00B77127" w:rsidP="009B0CF6">
            <w:pPr>
              <w:jc w:val="center"/>
              <w:rPr>
                <w:rFonts w:ascii="Times New Roman" w:hAnsi="Times New Roman" w:cs="Times New Roman"/>
                <w:sz w:val="24"/>
                <w:szCs w:val="24"/>
              </w:rPr>
            </w:pPr>
          </w:p>
        </w:tc>
        <w:tc>
          <w:tcPr>
            <w:tcW w:w="1700" w:type="dxa"/>
          </w:tcPr>
          <w:p w14:paraId="67F214D7" w14:textId="01A3C636" w:rsidR="00B77127" w:rsidRDefault="00B77127" w:rsidP="00ED11BD">
            <w:pPr>
              <w:jc w:val="right"/>
              <w:rPr>
                <w:rFonts w:ascii="Times New Roman" w:hAnsi="Times New Roman" w:cs="Times New Roman"/>
                <w:sz w:val="24"/>
                <w:szCs w:val="24"/>
              </w:rPr>
            </w:pPr>
            <w:r>
              <w:rPr>
                <w:rFonts w:ascii="Times New Roman" w:hAnsi="Times New Roman" w:cs="Times New Roman"/>
                <w:sz w:val="24"/>
                <w:szCs w:val="24"/>
              </w:rPr>
              <w:t>0.</w:t>
            </w:r>
            <w:r w:rsidR="00BD75E5">
              <w:rPr>
                <w:rFonts w:ascii="Times New Roman" w:hAnsi="Times New Roman" w:cs="Times New Roman"/>
                <w:sz w:val="24"/>
                <w:szCs w:val="24"/>
              </w:rPr>
              <w:t>5554</w:t>
            </w:r>
          </w:p>
        </w:tc>
        <w:tc>
          <w:tcPr>
            <w:tcW w:w="1169" w:type="dxa"/>
          </w:tcPr>
          <w:p w14:paraId="4D166C46" w14:textId="77777777" w:rsidR="00B77127" w:rsidDel="00B77127" w:rsidRDefault="00B77127" w:rsidP="005D7E16">
            <w:pPr>
              <w:ind w:left="-31" w:firstLine="31"/>
              <w:jc w:val="center"/>
              <w:rPr>
                <w:rFonts w:ascii="Times New Roman" w:hAnsi="Times New Roman" w:cs="Times New Roman"/>
                <w:sz w:val="24"/>
                <w:szCs w:val="24"/>
              </w:rPr>
            </w:pPr>
          </w:p>
        </w:tc>
        <w:tc>
          <w:tcPr>
            <w:tcW w:w="455" w:type="dxa"/>
          </w:tcPr>
          <w:p w14:paraId="7044900B" w14:textId="77777777" w:rsidR="00B77127" w:rsidRPr="00423572" w:rsidRDefault="00B77127" w:rsidP="00D4469A">
            <w:pPr>
              <w:rPr>
                <w:rFonts w:ascii="Times New Roman" w:hAnsi="Times New Roman" w:cs="Times New Roman"/>
                <w:sz w:val="24"/>
                <w:szCs w:val="24"/>
              </w:rPr>
            </w:pPr>
          </w:p>
        </w:tc>
      </w:tr>
      <w:bookmarkEnd w:id="15"/>
      <w:tr w:rsidR="00D4469A" w:rsidRPr="00423572" w14:paraId="08AA5F00" w14:textId="77777777" w:rsidTr="00233DB1">
        <w:trPr>
          <w:jc w:val="center"/>
        </w:trPr>
        <w:tc>
          <w:tcPr>
            <w:tcW w:w="2376" w:type="dxa"/>
          </w:tcPr>
          <w:p w14:paraId="15FF19CF" w14:textId="77777777" w:rsidR="00D4469A" w:rsidRPr="00423572" w:rsidRDefault="00D4469A" w:rsidP="00D4469A">
            <w:pPr>
              <w:rPr>
                <w:rFonts w:ascii="Times New Roman" w:hAnsi="Times New Roman" w:cs="Times New Roman"/>
                <w:sz w:val="24"/>
                <w:szCs w:val="24"/>
              </w:rPr>
            </w:pPr>
          </w:p>
        </w:tc>
        <w:tc>
          <w:tcPr>
            <w:tcW w:w="1701" w:type="dxa"/>
          </w:tcPr>
          <w:p w14:paraId="768DDA09" w14:textId="77777777" w:rsidR="00D4469A" w:rsidRPr="00423572" w:rsidRDefault="00D4469A" w:rsidP="00D4469A">
            <w:pPr>
              <w:rPr>
                <w:rFonts w:ascii="Times New Roman" w:hAnsi="Times New Roman" w:cs="Times New Roman"/>
                <w:sz w:val="24"/>
                <w:szCs w:val="24"/>
              </w:rPr>
            </w:pPr>
          </w:p>
        </w:tc>
        <w:tc>
          <w:tcPr>
            <w:tcW w:w="1134" w:type="dxa"/>
          </w:tcPr>
          <w:p w14:paraId="3AF2822E" w14:textId="77777777" w:rsidR="00D4469A" w:rsidRPr="00423572" w:rsidRDefault="00D4469A" w:rsidP="00D4469A">
            <w:pPr>
              <w:rPr>
                <w:rFonts w:ascii="Times New Roman" w:hAnsi="Times New Roman" w:cs="Times New Roman"/>
                <w:sz w:val="24"/>
                <w:szCs w:val="24"/>
              </w:rPr>
            </w:pPr>
          </w:p>
        </w:tc>
        <w:tc>
          <w:tcPr>
            <w:tcW w:w="709" w:type="dxa"/>
            <w:gridSpan w:val="2"/>
          </w:tcPr>
          <w:p w14:paraId="047902BF" w14:textId="77777777" w:rsidR="00D4469A" w:rsidRPr="00423572" w:rsidRDefault="00D4469A" w:rsidP="00D4469A">
            <w:pPr>
              <w:rPr>
                <w:rFonts w:ascii="Times New Roman" w:hAnsi="Times New Roman" w:cs="Times New Roman"/>
                <w:sz w:val="24"/>
                <w:szCs w:val="24"/>
              </w:rPr>
            </w:pPr>
          </w:p>
        </w:tc>
        <w:tc>
          <w:tcPr>
            <w:tcW w:w="1700" w:type="dxa"/>
          </w:tcPr>
          <w:p w14:paraId="316AF94F" w14:textId="77777777" w:rsidR="00D4469A" w:rsidRPr="00423572" w:rsidRDefault="00D4469A" w:rsidP="00ED11BD">
            <w:pPr>
              <w:jc w:val="center"/>
              <w:rPr>
                <w:rFonts w:ascii="Times New Roman" w:hAnsi="Times New Roman" w:cs="Times New Roman"/>
                <w:sz w:val="24"/>
                <w:szCs w:val="24"/>
              </w:rPr>
            </w:pPr>
          </w:p>
        </w:tc>
        <w:tc>
          <w:tcPr>
            <w:tcW w:w="1169" w:type="dxa"/>
          </w:tcPr>
          <w:p w14:paraId="6FEB0DB5" w14:textId="77777777" w:rsidR="00D4469A" w:rsidRPr="00423572" w:rsidRDefault="00D4469A" w:rsidP="00ED11BD">
            <w:pPr>
              <w:jc w:val="center"/>
              <w:rPr>
                <w:rFonts w:ascii="Times New Roman" w:hAnsi="Times New Roman" w:cs="Times New Roman"/>
                <w:sz w:val="24"/>
                <w:szCs w:val="24"/>
              </w:rPr>
            </w:pPr>
          </w:p>
        </w:tc>
        <w:tc>
          <w:tcPr>
            <w:tcW w:w="455" w:type="dxa"/>
          </w:tcPr>
          <w:p w14:paraId="2779D9EF" w14:textId="77777777" w:rsidR="00D4469A" w:rsidRPr="00423572" w:rsidRDefault="00D4469A" w:rsidP="00D4469A">
            <w:pPr>
              <w:rPr>
                <w:rFonts w:ascii="Times New Roman" w:hAnsi="Times New Roman" w:cs="Times New Roman"/>
                <w:sz w:val="24"/>
                <w:szCs w:val="24"/>
              </w:rPr>
            </w:pPr>
          </w:p>
        </w:tc>
      </w:tr>
      <w:tr w:rsidR="00D4469A" w:rsidRPr="00865A7D" w14:paraId="45DCF305" w14:textId="77777777" w:rsidTr="00233DB1">
        <w:trPr>
          <w:jc w:val="center"/>
        </w:trPr>
        <w:tc>
          <w:tcPr>
            <w:tcW w:w="9244" w:type="dxa"/>
            <w:gridSpan w:val="8"/>
          </w:tcPr>
          <w:p w14:paraId="0B0B26D2" w14:textId="77777777" w:rsidR="00D4469A" w:rsidRPr="00865A7D" w:rsidRDefault="00D4469A" w:rsidP="00C65422">
            <w:pPr>
              <w:rPr>
                <w:rFonts w:ascii="Times New Roman" w:hAnsi="Times New Roman" w:cs="Times New Roman"/>
                <w:b/>
                <w:sz w:val="24"/>
                <w:szCs w:val="24"/>
              </w:rPr>
            </w:pPr>
            <w:r w:rsidRPr="00865A7D">
              <w:rPr>
                <w:rFonts w:ascii="Times New Roman" w:hAnsi="Times New Roman" w:cs="Times New Roman"/>
                <w:b/>
                <w:sz w:val="24"/>
                <w:szCs w:val="24"/>
              </w:rPr>
              <w:t>Entropy balanced treatment and control groups</w:t>
            </w:r>
          </w:p>
        </w:tc>
      </w:tr>
      <w:tr w:rsidR="00BD75E5" w:rsidRPr="00423572" w14:paraId="513C6EE2" w14:textId="77777777" w:rsidTr="00233DB1">
        <w:trPr>
          <w:jc w:val="center"/>
        </w:trPr>
        <w:tc>
          <w:tcPr>
            <w:tcW w:w="2376" w:type="dxa"/>
          </w:tcPr>
          <w:p w14:paraId="4863F184" w14:textId="2C922051" w:rsidR="00BD75E5" w:rsidRPr="00423572" w:rsidRDefault="00BD75E5" w:rsidP="00BD75E5">
            <w:pPr>
              <w:rPr>
                <w:rFonts w:ascii="Times New Roman" w:hAnsi="Times New Roman" w:cs="Times New Roman"/>
                <w:sz w:val="24"/>
                <w:szCs w:val="24"/>
              </w:rPr>
            </w:pPr>
            <w:r>
              <w:rPr>
                <w:rFonts w:ascii="Times New Roman" w:hAnsi="Times New Roman" w:cs="Times New Roman"/>
                <w:sz w:val="24"/>
                <w:szCs w:val="24"/>
              </w:rPr>
              <w:t>MVE</w:t>
            </w:r>
          </w:p>
        </w:tc>
        <w:tc>
          <w:tcPr>
            <w:tcW w:w="1701" w:type="dxa"/>
          </w:tcPr>
          <w:p w14:paraId="3D35219B" w14:textId="520A6560" w:rsidR="00BD75E5" w:rsidRPr="00423572" w:rsidRDefault="00BD75E5" w:rsidP="00BD75E5">
            <w:pPr>
              <w:jc w:val="right"/>
              <w:rPr>
                <w:rFonts w:ascii="Times New Roman" w:hAnsi="Times New Roman" w:cs="Times New Roman"/>
                <w:sz w:val="24"/>
                <w:szCs w:val="24"/>
              </w:rPr>
            </w:pPr>
            <w:r>
              <w:rPr>
                <w:rFonts w:ascii="Times New Roman" w:hAnsi="Times New Roman" w:cs="Times New Roman"/>
                <w:sz w:val="24"/>
                <w:szCs w:val="24"/>
              </w:rPr>
              <w:t>3.5380</w:t>
            </w:r>
          </w:p>
        </w:tc>
        <w:tc>
          <w:tcPr>
            <w:tcW w:w="1134" w:type="dxa"/>
          </w:tcPr>
          <w:p w14:paraId="3A570A2E" w14:textId="651D5906" w:rsidR="00BD75E5" w:rsidRPr="00423572" w:rsidRDefault="00BD75E5" w:rsidP="00BD75E5">
            <w:pPr>
              <w:jc w:val="center"/>
              <w:rPr>
                <w:rFonts w:ascii="Times New Roman" w:hAnsi="Times New Roman" w:cs="Times New Roman"/>
                <w:sz w:val="24"/>
                <w:szCs w:val="24"/>
              </w:rPr>
            </w:pPr>
          </w:p>
        </w:tc>
        <w:tc>
          <w:tcPr>
            <w:tcW w:w="709" w:type="dxa"/>
            <w:gridSpan w:val="2"/>
          </w:tcPr>
          <w:p w14:paraId="382E5C81" w14:textId="1EDEEBA7" w:rsidR="00BD75E5" w:rsidRPr="00423572" w:rsidRDefault="00BD75E5" w:rsidP="00BD75E5">
            <w:pPr>
              <w:jc w:val="center"/>
              <w:rPr>
                <w:rFonts w:ascii="Times New Roman" w:hAnsi="Times New Roman" w:cs="Times New Roman"/>
                <w:sz w:val="24"/>
                <w:szCs w:val="24"/>
              </w:rPr>
            </w:pPr>
          </w:p>
        </w:tc>
        <w:tc>
          <w:tcPr>
            <w:tcW w:w="1700" w:type="dxa"/>
          </w:tcPr>
          <w:p w14:paraId="659F99E0" w14:textId="73DFE385" w:rsidR="00BD75E5" w:rsidRPr="00423572" w:rsidRDefault="00BD75E5" w:rsidP="00BD75E5">
            <w:pPr>
              <w:jc w:val="right"/>
              <w:rPr>
                <w:rFonts w:ascii="Times New Roman" w:hAnsi="Times New Roman" w:cs="Times New Roman"/>
                <w:sz w:val="24"/>
                <w:szCs w:val="24"/>
              </w:rPr>
            </w:pPr>
            <w:r>
              <w:rPr>
                <w:rFonts w:ascii="Times New Roman" w:hAnsi="Times New Roman" w:cs="Times New Roman"/>
                <w:sz w:val="24"/>
                <w:szCs w:val="24"/>
              </w:rPr>
              <w:t>3.5380</w:t>
            </w:r>
          </w:p>
        </w:tc>
        <w:tc>
          <w:tcPr>
            <w:tcW w:w="1169" w:type="dxa"/>
          </w:tcPr>
          <w:p w14:paraId="36DF1E7C" w14:textId="7487B638" w:rsidR="00BD75E5" w:rsidRPr="00423572" w:rsidRDefault="00BD75E5" w:rsidP="00BD75E5">
            <w:pPr>
              <w:jc w:val="center"/>
              <w:rPr>
                <w:rFonts w:ascii="Times New Roman" w:hAnsi="Times New Roman" w:cs="Times New Roman"/>
                <w:sz w:val="24"/>
                <w:szCs w:val="24"/>
              </w:rPr>
            </w:pPr>
          </w:p>
        </w:tc>
        <w:tc>
          <w:tcPr>
            <w:tcW w:w="455" w:type="dxa"/>
          </w:tcPr>
          <w:p w14:paraId="28A15B68" w14:textId="1F1A4D97" w:rsidR="00BD75E5" w:rsidRPr="00423572" w:rsidRDefault="00BD75E5" w:rsidP="00BD75E5">
            <w:pPr>
              <w:rPr>
                <w:rFonts w:ascii="Times New Roman" w:hAnsi="Times New Roman" w:cs="Times New Roman"/>
                <w:sz w:val="24"/>
                <w:szCs w:val="24"/>
              </w:rPr>
            </w:pPr>
          </w:p>
        </w:tc>
      </w:tr>
      <w:tr w:rsidR="00BD75E5" w:rsidRPr="00423572" w14:paraId="59FF0CE0" w14:textId="77777777" w:rsidTr="00233DB1">
        <w:trPr>
          <w:jc w:val="center"/>
        </w:trPr>
        <w:tc>
          <w:tcPr>
            <w:tcW w:w="2376" w:type="dxa"/>
          </w:tcPr>
          <w:p w14:paraId="1676C698" w14:textId="050F0A8D" w:rsidR="00BD75E5" w:rsidRPr="00423572" w:rsidRDefault="00BD75E5" w:rsidP="00BD75E5">
            <w:pPr>
              <w:rPr>
                <w:rFonts w:ascii="Times New Roman" w:hAnsi="Times New Roman" w:cs="Times New Roman"/>
                <w:sz w:val="24"/>
                <w:szCs w:val="24"/>
              </w:rPr>
            </w:pPr>
            <w:r>
              <w:rPr>
                <w:rFonts w:ascii="Times New Roman" w:hAnsi="Times New Roman" w:cs="Times New Roman"/>
                <w:sz w:val="24"/>
                <w:szCs w:val="24"/>
              </w:rPr>
              <w:t>RD/TA</w:t>
            </w:r>
          </w:p>
        </w:tc>
        <w:tc>
          <w:tcPr>
            <w:tcW w:w="1701" w:type="dxa"/>
          </w:tcPr>
          <w:p w14:paraId="65AD7DAC" w14:textId="6F2868BD" w:rsidR="00BD75E5" w:rsidRPr="00423572" w:rsidRDefault="00BD75E5" w:rsidP="00BD75E5">
            <w:pPr>
              <w:jc w:val="right"/>
              <w:rPr>
                <w:rFonts w:ascii="Times New Roman" w:hAnsi="Times New Roman" w:cs="Times New Roman"/>
                <w:sz w:val="24"/>
                <w:szCs w:val="24"/>
              </w:rPr>
            </w:pPr>
            <w:r>
              <w:rPr>
                <w:rFonts w:ascii="Times New Roman" w:hAnsi="Times New Roman" w:cs="Times New Roman"/>
                <w:sz w:val="24"/>
                <w:szCs w:val="24"/>
              </w:rPr>
              <w:t>0.1101</w:t>
            </w:r>
          </w:p>
        </w:tc>
        <w:tc>
          <w:tcPr>
            <w:tcW w:w="1134" w:type="dxa"/>
          </w:tcPr>
          <w:p w14:paraId="4BBB2220" w14:textId="7242649A" w:rsidR="00BD75E5" w:rsidRPr="00423572" w:rsidRDefault="00BD75E5" w:rsidP="00BD75E5">
            <w:pPr>
              <w:jc w:val="center"/>
              <w:rPr>
                <w:rFonts w:ascii="Times New Roman" w:hAnsi="Times New Roman" w:cs="Times New Roman"/>
                <w:sz w:val="24"/>
                <w:szCs w:val="24"/>
              </w:rPr>
            </w:pPr>
          </w:p>
        </w:tc>
        <w:tc>
          <w:tcPr>
            <w:tcW w:w="709" w:type="dxa"/>
            <w:gridSpan w:val="2"/>
          </w:tcPr>
          <w:p w14:paraId="6518FC04" w14:textId="3669F7CE" w:rsidR="00BD75E5" w:rsidRPr="00423572" w:rsidRDefault="00BD75E5" w:rsidP="00BD75E5">
            <w:pPr>
              <w:jc w:val="center"/>
              <w:rPr>
                <w:rFonts w:ascii="Times New Roman" w:hAnsi="Times New Roman" w:cs="Times New Roman"/>
                <w:sz w:val="24"/>
                <w:szCs w:val="24"/>
              </w:rPr>
            </w:pPr>
          </w:p>
        </w:tc>
        <w:tc>
          <w:tcPr>
            <w:tcW w:w="1700" w:type="dxa"/>
          </w:tcPr>
          <w:p w14:paraId="0A890FDB" w14:textId="7C470B93" w:rsidR="00BD75E5" w:rsidRPr="00423572" w:rsidRDefault="00BD75E5" w:rsidP="00BD75E5">
            <w:pPr>
              <w:jc w:val="right"/>
              <w:rPr>
                <w:rFonts w:ascii="Times New Roman" w:hAnsi="Times New Roman" w:cs="Times New Roman"/>
                <w:sz w:val="24"/>
                <w:szCs w:val="24"/>
              </w:rPr>
            </w:pPr>
            <w:r>
              <w:rPr>
                <w:rFonts w:ascii="Times New Roman" w:hAnsi="Times New Roman" w:cs="Times New Roman"/>
                <w:sz w:val="24"/>
                <w:szCs w:val="24"/>
              </w:rPr>
              <w:t>0.1101</w:t>
            </w:r>
          </w:p>
        </w:tc>
        <w:tc>
          <w:tcPr>
            <w:tcW w:w="1169" w:type="dxa"/>
          </w:tcPr>
          <w:p w14:paraId="4731F556" w14:textId="23B93DFE" w:rsidR="00BD75E5" w:rsidRPr="00423572" w:rsidRDefault="00BD75E5" w:rsidP="00BD75E5">
            <w:pPr>
              <w:jc w:val="center"/>
              <w:rPr>
                <w:rFonts w:ascii="Times New Roman" w:hAnsi="Times New Roman" w:cs="Times New Roman"/>
                <w:sz w:val="24"/>
                <w:szCs w:val="24"/>
              </w:rPr>
            </w:pPr>
          </w:p>
        </w:tc>
        <w:tc>
          <w:tcPr>
            <w:tcW w:w="455" w:type="dxa"/>
          </w:tcPr>
          <w:p w14:paraId="629DC798" w14:textId="4F1F6ED3" w:rsidR="00BD75E5" w:rsidRPr="00423572" w:rsidRDefault="00BD75E5" w:rsidP="00BD75E5">
            <w:pPr>
              <w:rPr>
                <w:rFonts w:ascii="Times New Roman" w:hAnsi="Times New Roman" w:cs="Times New Roman"/>
                <w:sz w:val="24"/>
                <w:szCs w:val="24"/>
              </w:rPr>
            </w:pPr>
          </w:p>
        </w:tc>
      </w:tr>
      <w:tr w:rsidR="00BD75E5" w:rsidRPr="00423572" w14:paraId="2FB20D4F" w14:textId="77777777" w:rsidTr="00233DB1">
        <w:trPr>
          <w:jc w:val="center"/>
        </w:trPr>
        <w:tc>
          <w:tcPr>
            <w:tcW w:w="2376" w:type="dxa"/>
          </w:tcPr>
          <w:p w14:paraId="289DD47A" w14:textId="231E3D1F" w:rsidR="00BD75E5" w:rsidRPr="00423572" w:rsidRDefault="00BD75E5" w:rsidP="003C7B8A">
            <w:pPr>
              <w:rPr>
                <w:rFonts w:ascii="Times New Roman" w:hAnsi="Times New Roman" w:cs="Times New Roman"/>
                <w:sz w:val="24"/>
                <w:szCs w:val="24"/>
              </w:rPr>
            </w:pPr>
            <w:r>
              <w:rPr>
                <w:rFonts w:ascii="Times New Roman" w:hAnsi="Times New Roman" w:cs="Times New Roman"/>
                <w:sz w:val="24"/>
                <w:szCs w:val="24"/>
              </w:rPr>
              <w:t>LEV</w:t>
            </w:r>
          </w:p>
        </w:tc>
        <w:tc>
          <w:tcPr>
            <w:tcW w:w="1701" w:type="dxa"/>
          </w:tcPr>
          <w:p w14:paraId="49ED23C3" w14:textId="64474BA4" w:rsidR="00BD75E5" w:rsidRPr="00423572" w:rsidRDefault="00BD75E5" w:rsidP="00BD75E5">
            <w:pPr>
              <w:jc w:val="right"/>
              <w:rPr>
                <w:rFonts w:ascii="Times New Roman" w:hAnsi="Times New Roman" w:cs="Times New Roman"/>
                <w:sz w:val="24"/>
                <w:szCs w:val="24"/>
              </w:rPr>
            </w:pPr>
            <w:r>
              <w:rPr>
                <w:rFonts w:ascii="Times New Roman" w:hAnsi="Times New Roman" w:cs="Times New Roman"/>
                <w:sz w:val="24"/>
                <w:szCs w:val="24"/>
              </w:rPr>
              <w:t>0.4054</w:t>
            </w:r>
          </w:p>
        </w:tc>
        <w:tc>
          <w:tcPr>
            <w:tcW w:w="1134" w:type="dxa"/>
          </w:tcPr>
          <w:p w14:paraId="2981C8B5" w14:textId="4E153FE8" w:rsidR="00BD75E5" w:rsidRPr="00423572" w:rsidRDefault="00BD75E5" w:rsidP="00BD75E5">
            <w:pPr>
              <w:jc w:val="center"/>
              <w:rPr>
                <w:rFonts w:ascii="Times New Roman" w:hAnsi="Times New Roman" w:cs="Times New Roman"/>
                <w:sz w:val="24"/>
                <w:szCs w:val="24"/>
              </w:rPr>
            </w:pPr>
          </w:p>
        </w:tc>
        <w:tc>
          <w:tcPr>
            <w:tcW w:w="709" w:type="dxa"/>
            <w:gridSpan w:val="2"/>
          </w:tcPr>
          <w:p w14:paraId="72FD8B90" w14:textId="1A5468BD" w:rsidR="00BD75E5" w:rsidRPr="00423572" w:rsidRDefault="00BD75E5" w:rsidP="00BD75E5">
            <w:pPr>
              <w:jc w:val="center"/>
              <w:rPr>
                <w:rFonts w:ascii="Times New Roman" w:hAnsi="Times New Roman" w:cs="Times New Roman"/>
                <w:sz w:val="24"/>
                <w:szCs w:val="24"/>
              </w:rPr>
            </w:pPr>
          </w:p>
        </w:tc>
        <w:tc>
          <w:tcPr>
            <w:tcW w:w="1700" w:type="dxa"/>
          </w:tcPr>
          <w:p w14:paraId="03DFFBEB" w14:textId="5DB742F1" w:rsidR="00BD75E5" w:rsidRPr="00423572" w:rsidRDefault="00BD75E5" w:rsidP="00BD75E5">
            <w:pPr>
              <w:jc w:val="right"/>
              <w:rPr>
                <w:rFonts w:ascii="Times New Roman" w:hAnsi="Times New Roman" w:cs="Times New Roman"/>
                <w:sz w:val="24"/>
                <w:szCs w:val="24"/>
              </w:rPr>
            </w:pPr>
            <w:r>
              <w:rPr>
                <w:rFonts w:ascii="Times New Roman" w:hAnsi="Times New Roman" w:cs="Times New Roman"/>
                <w:sz w:val="24"/>
                <w:szCs w:val="24"/>
              </w:rPr>
              <w:t>0.4054</w:t>
            </w:r>
          </w:p>
        </w:tc>
        <w:tc>
          <w:tcPr>
            <w:tcW w:w="1169" w:type="dxa"/>
          </w:tcPr>
          <w:p w14:paraId="42D0095D" w14:textId="0C2E71FF" w:rsidR="00BD75E5" w:rsidRPr="00423572" w:rsidRDefault="00BD75E5" w:rsidP="00BD75E5">
            <w:pPr>
              <w:jc w:val="center"/>
              <w:rPr>
                <w:rFonts w:ascii="Times New Roman" w:hAnsi="Times New Roman" w:cs="Times New Roman"/>
                <w:sz w:val="24"/>
                <w:szCs w:val="24"/>
              </w:rPr>
            </w:pPr>
          </w:p>
        </w:tc>
        <w:tc>
          <w:tcPr>
            <w:tcW w:w="455" w:type="dxa"/>
          </w:tcPr>
          <w:p w14:paraId="420407F5" w14:textId="03EB6DBF" w:rsidR="00BD75E5" w:rsidRPr="00423572" w:rsidRDefault="00BD75E5" w:rsidP="00BD75E5">
            <w:pPr>
              <w:rPr>
                <w:rFonts w:ascii="Times New Roman" w:hAnsi="Times New Roman" w:cs="Times New Roman"/>
                <w:sz w:val="24"/>
                <w:szCs w:val="24"/>
              </w:rPr>
            </w:pPr>
          </w:p>
        </w:tc>
      </w:tr>
      <w:tr w:rsidR="00BD75E5" w:rsidRPr="00423572" w14:paraId="649468B7" w14:textId="77777777" w:rsidTr="00233DB1">
        <w:trPr>
          <w:jc w:val="center"/>
        </w:trPr>
        <w:tc>
          <w:tcPr>
            <w:tcW w:w="2376" w:type="dxa"/>
          </w:tcPr>
          <w:p w14:paraId="7BD95670" w14:textId="3BF561B3" w:rsidR="00BD75E5" w:rsidRPr="00423572" w:rsidRDefault="00BD75E5" w:rsidP="00BD75E5">
            <w:pPr>
              <w:rPr>
                <w:rFonts w:ascii="Times New Roman" w:hAnsi="Times New Roman" w:cs="Times New Roman"/>
                <w:sz w:val="24"/>
                <w:szCs w:val="24"/>
              </w:rPr>
            </w:pPr>
            <w:r>
              <w:rPr>
                <w:rFonts w:ascii="Times New Roman" w:hAnsi="Times New Roman" w:cs="Times New Roman"/>
                <w:sz w:val="24"/>
                <w:szCs w:val="24"/>
              </w:rPr>
              <w:t>AGE</w:t>
            </w:r>
          </w:p>
        </w:tc>
        <w:tc>
          <w:tcPr>
            <w:tcW w:w="1701" w:type="dxa"/>
          </w:tcPr>
          <w:p w14:paraId="5BD5FFD8" w14:textId="5A8FF642" w:rsidR="00BD75E5" w:rsidRPr="00423572" w:rsidRDefault="00BD75E5" w:rsidP="00BD75E5">
            <w:pPr>
              <w:jc w:val="right"/>
              <w:rPr>
                <w:rFonts w:ascii="Times New Roman" w:hAnsi="Times New Roman" w:cs="Times New Roman"/>
                <w:sz w:val="24"/>
                <w:szCs w:val="24"/>
              </w:rPr>
            </w:pPr>
            <w:r>
              <w:rPr>
                <w:rFonts w:ascii="Times New Roman" w:hAnsi="Times New Roman" w:cs="Times New Roman"/>
                <w:sz w:val="24"/>
                <w:szCs w:val="24"/>
              </w:rPr>
              <w:t>32.2700</w:t>
            </w:r>
          </w:p>
        </w:tc>
        <w:tc>
          <w:tcPr>
            <w:tcW w:w="1134" w:type="dxa"/>
          </w:tcPr>
          <w:p w14:paraId="3BC4F6BB" w14:textId="365AAC3F" w:rsidR="00BD75E5" w:rsidRPr="00423572" w:rsidRDefault="00BD75E5" w:rsidP="00BD75E5">
            <w:pPr>
              <w:jc w:val="center"/>
              <w:rPr>
                <w:rFonts w:ascii="Times New Roman" w:hAnsi="Times New Roman" w:cs="Times New Roman"/>
                <w:sz w:val="24"/>
                <w:szCs w:val="24"/>
              </w:rPr>
            </w:pPr>
          </w:p>
        </w:tc>
        <w:tc>
          <w:tcPr>
            <w:tcW w:w="709" w:type="dxa"/>
            <w:gridSpan w:val="2"/>
          </w:tcPr>
          <w:p w14:paraId="0E3A480B" w14:textId="77777777" w:rsidR="00BD75E5" w:rsidRPr="00423572" w:rsidRDefault="00BD75E5" w:rsidP="00BD75E5">
            <w:pPr>
              <w:jc w:val="center"/>
              <w:rPr>
                <w:rFonts w:ascii="Times New Roman" w:hAnsi="Times New Roman" w:cs="Times New Roman"/>
                <w:sz w:val="24"/>
                <w:szCs w:val="24"/>
              </w:rPr>
            </w:pPr>
          </w:p>
        </w:tc>
        <w:tc>
          <w:tcPr>
            <w:tcW w:w="1700" w:type="dxa"/>
          </w:tcPr>
          <w:p w14:paraId="6CEA74E2" w14:textId="5FE73298" w:rsidR="00BD75E5" w:rsidRDefault="00BD75E5" w:rsidP="00BD75E5">
            <w:pPr>
              <w:jc w:val="right"/>
              <w:rPr>
                <w:rFonts w:ascii="Times New Roman" w:hAnsi="Times New Roman" w:cs="Times New Roman"/>
                <w:sz w:val="24"/>
                <w:szCs w:val="24"/>
              </w:rPr>
            </w:pPr>
            <w:r>
              <w:rPr>
                <w:rFonts w:ascii="Times New Roman" w:hAnsi="Times New Roman" w:cs="Times New Roman"/>
                <w:sz w:val="24"/>
                <w:szCs w:val="24"/>
              </w:rPr>
              <w:t>32.2700</w:t>
            </w:r>
          </w:p>
        </w:tc>
        <w:tc>
          <w:tcPr>
            <w:tcW w:w="1169" w:type="dxa"/>
          </w:tcPr>
          <w:p w14:paraId="7992E65A" w14:textId="34E60E2C" w:rsidR="00BD75E5" w:rsidRDefault="00BD75E5" w:rsidP="00BD75E5">
            <w:pPr>
              <w:jc w:val="center"/>
              <w:rPr>
                <w:rFonts w:ascii="Times New Roman" w:hAnsi="Times New Roman" w:cs="Times New Roman"/>
                <w:sz w:val="24"/>
                <w:szCs w:val="24"/>
              </w:rPr>
            </w:pPr>
          </w:p>
        </w:tc>
        <w:tc>
          <w:tcPr>
            <w:tcW w:w="455" w:type="dxa"/>
          </w:tcPr>
          <w:p w14:paraId="139C0C66" w14:textId="77777777" w:rsidR="00BD75E5" w:rsidRPr="00423572" w:rsidRDefault="00BD75E5" w:rsidP="00BD75E5">
            <w:pPr>
              <w:rPr>
                <w:rFonts w:ascii="Times New Roman" w:hAnsi="Times New Roman" w:cs="Times New Roman"/>
                <w:sz w:val="24"/>
                <w:szCs w:val="24"/>
              </w:rPr>
            </w:pPr>
          </w:p>
        </w:tc>
      </w:tr>
      <w:tr w:rsidR="00BD75E5" w:rsidRPr="00423572" w14:paraId="2C134F63" w14:textId="77777777" w:rsidTr="00233DB1">
        <w:trPr>
          <w:jc w:val="center"/>
        </w:trPr>
        <w:tc>
          <w:tcPr>
            <w:tcW w:w="2376" w:type="dxa"/>
          </w:tcPr>
          <w:p w14:paraId="2FA96242" w14:textId="4FB1ED16" w:rsidR="00BD75E5" w:rsidRPr="00423572" w:rsidRDefault="00BD75E5" w:rsidP="00BD75E5">
            <w:pPr>
              <w:rPr>
                <w:rFonts w:ascii="Times New Roman" w:hAnsi="Times New Roman" w:cs="Times New Roman"/>
                <w:sz w:val="24"/>
                <w:szCs w:val="24"/>
              </w:rPr>
            </w:pPr>
            <w:r>
              <w:rPr>
                <w:rFonts w:ascii="Times New Roman" w:hAnsi="Times New Roman" w:cs="Times New Roman"/>
                <w:sz w:val="24"/>
                <w:szCs w:val="24"/>
              </w:rPr>
              <w:t>STATE</w:t>
            </w:r>
          </w:p>
        </w:tc>
        <w:tc>
          <w:tcPr>
            <w:tcW w:w="1701" w:type="dxa"/>
          </w:tcPr>
          <w:p w14:paraId="102B4A08" w14:textId="438CCB48" w:rsidR="00BD75E5" w:rsidRPr="00423572" w:rsidRDefault="00BD75E5" w:rsidP="00BD75E5">
            <w:pPr>
              <w:jc w:val="right"/>
              <w:rPr>
                <w:rFonts w:ascii="Times New Roman" w:hAnsi="Times New Roman" w:cs="Times New Roman"/>
                <w:sz w:val="24"/>
                <w:szCs w:val="24"/>
              </w:rPr>
            </w:pPr>
            <w:r>
              <w:rPr>
                <w:rFonts w:ascii="Times New Roman" w:hAnsi="Times New Roman" w:cs="Times New Roman"/>
                <w:sz w:val="24"/>
                <w:szCs w:val="24"/>
              </w:rPr>
              <w:t>0.2667</w:t>
            </w:r>
          </w:p>
        </w:tc>
        <w:tc>
          <w:tcPr>
            <w:tcW w:w="1134" w:type="dxa"/>
          </w:tcPr>
          <w:p w14:paraId="67C3D664" w14:textId="25DFC800" w:rsidR="00BD75E5" w:rsidRPr="00423572" w:rsidRDefault="00BD75E5" w:rsidP="00BD75E5">
            <w:pPr>
              <w:jc w:val="center"/>
              <w:rPr>
                <w:rFonts w:ascii="Times New Roman" w:hAnsi="Times New Roman" w:cs="Times New Roman"/>
                <w:sz w:val="24"/>
                <w:szCs w:val="24"/>
              </w:rPr>
            </w:pPr>
          </w:p>
        </w:tc>
        <w:tc>
          <w:tcPr>
            <w:tcW w:w="709" w:type="dxa"/>
            <w:gridSpan w:val="2"/>
          </w:tcPr>
          <w:p w14:paraId="5F04B117" w14:textId="77777777" w:rsidR="00BD75E5" w:rsidRPr="00423572" w:rsidRDefault="00BD75E5" w:rsidP="00BD75E5">
            <w:pPr>
              <w:jc w:val="center"/>
              <w:rPr>
                <w:rFonts w:ascii="Times New Roman" w:hAnsi="Times New Roman" w:cs="Times New Roman"/>
                <w:sz w:val="24"/>
                <w:szCs w:val="24"/>
              </w:rPr>
            </w:pPr>
          </w:p>
        </w:tc>
        <w:tc>
          <w:tcPr>
            <w:tcW w:w="1700" w:type="dxa"/>
          </w:tcPr>
          <w:p w14:paraId="520A955F" w14:textId="0B5F6FBD" w:rsidR="00BD75E5" w:rsidRDefault="00BD75E5" w:rsidP="00BD75E5">
            <w:pPr>
              <w:jc w:val="right"/>
              <w:rPr>
                <w:rFonts w:ascii="Times New Roman" w:hAnsi="Times New Roman" w:cs="Times New Roman"/>
                <w:sz w:val="24"/>
                <w:szCs w:val="24"/>
              </w:rPr>
            </w:pPr>
            <w:r>
              <w:rPr>
                <w:rFonts w:ascii="Times New Roman" w:hAnsi="Times New Roman" w:cs="Times New Roman"/>
                <w:sz w:val="24"/>
                <w:szCs w:val="24"/>
              </w:rPr>
              <w:t>0.2667</w:t>
            </w:r>
          </w:p>
        </w:tc>
        <w:tc>
          <w:tcPr>
            <w:tcW w:w="1169" w:type="dxa"/>
          </w:tcPr>
          <w:p w14:paraId="7B114B6E" w14:textId="7FA106D9" w:rsidR="00BD75E5" w:rsidRDefault="00BD75E5" w:rsidP="00BD75E5">
            <w:pPr>
              <w:jc w:val="center"/>
              <w:rPr>
                <w:rFonts w:ascii="Times New Roman" w:hAnsi="Times New Roman" w:cs="Times New Roman"/>
                <w:sz w:val="24"/>
                <w:szCs w:val="24"/>
              </w:rPr>
            </w:pPr>
          </w:p>
        </w:tc>
        <w:tc>
          <w:tcPr>
            <w:tcW w:w="455" w:type="dxa"/>
          </w:tcPr>
          <w:p w14:paraId="6187A6B5" w14:textId="77777777" w:rsidR="00BD75E5" w:rsidRPr="00423572" w:rsidRDefault="00BD75E5" w:rsidP="00BD75E5">
            <w:pPr>
              <w:rPr>
                <w:rFonts w:ascii="Times New Roman" w:hAnsi="Times New Roman" w:cs="Times New Roman"/>
                <w:sz w:val="24"/>
                <w:szCs w:val="24"/>
              </w:rPr>
            </w:pPr>
          </w:p>
        </w:tc>
      </w:tr>
      <w:tr w:rsidR="00BD75E5" w:rsidRPr="00423572" w14:paraId="7F93B109" w14:textId="77777777" w:rsidTr="00233DB1">
        <w:trPr>
          <w:jc w:val="center"/>
        </w:trPr>
        <w:tc>
          <w:tcPr>
            <w:tcW w:w="2376" w:type="dxa"/>
          </w:tcPr>
          <w:p w14:paraId="5E6C8E69" w14:textId="5FFB9277" w:rsidR="00BD75E5" w:rsidRDefault="00BD75E5" w:rsidP="00BD75E5">
            <w:pPr>
              <w:rPr>
                <w:rFonts w:ascii="Times New Roman" w:hAnsi="Times New Roman" w:cs="Times New Roman"/>
                <w:sz w:val="24"/>
                <w:szCs w:val="24"/>
              </w:rPr>
            </w:pPr>
            <w:r>
              <w:rPr>
                <w:rFonts w:ascii="Times New Roman" w:hAnsi="Times New Roman" w:cs="Times New Roman"/>
                <w:sz w:val="24"/>
                <w:szCs w:val="24"/>
              </w:rPr>
              <w:t>CAP%</w:t>
            </w:r>
          </w:p>
        </w:tc>
        <w:tc>
          <w:tcPr>
            <w:tcW w:w="1701" w:type="dxa"/>
          </w:tcPr>
          <w:p w14:paraId="05A0496F" w14:textId="674E4C52" w:rsidR="00BD75E5" w:rsidRDefault="00BD75E5" w:rsidP="00BD75E5">
            <w:pPr>
              <w:jc w:val="right"/>
              <w:rPr>
                <w:rFonts w:ascii="Times New Roman" w:hAnsi="Times New Roman" w:cs="Times New Roman"/>
                <w:sz w:val="24"/>
                <w:szCs w:val="24"/>
              </w:rPr>
            </w:pPr>
            <w:r>
              <w:rPr>
                <w:rFonts w:ascii="Times New Roman" w:hAnsi="Times New Roman" w:cs="Times New Roman"/>
                <w:sz w:val="24"/>
                <w:szCs w:val="24"/>
              </w:rPr>
              <w:t>0.5554</w:t>
            </w:r>
          </w:p>
        </w:tc>
        <w:tc>
          <w:tcPr>
            <w:tcW w:w="1134" w:type="dxa"/>
          </w:tcPr>
          <w:p w14:paraId="712DE164" w14:textId="77777777" w:rsidR="00BD75E5" w:rsidDel="00B77127" w:rsidRDefault="00BD75E5" w:rsidP="00BD75E5">
            <w:pPr>
              <w:jc w:val="center"/>
              <w:rPr>
                <w:rFonts w:ascii="Times New Roman" w:hAnsi="Times New Roman" w:cs="Times New Roman"/>
                <w:sz w:val="24"/>
                <w:szCs w:val="24"/>
              </w:rPr>
            </w:pPr>
          </w:p>
        </w:tc>
        <w:tc>
          <w:tcPr>
            <w:tcW w:w="709" w:type="dxa"/>
            <w:gridSpan w:val="2"/>
          </w:tcPr>
          <w:p w14:paraId="082CB0C4" w14:textId="77777777" w:rsidR="00BD75E5" w:rsidRPr="00423572" w:rsidRDefault="00BD75E5" w:rsidP="00BD75E5">
            <w:pPr>
              <w:jc w:val="center"/>
              <w:rPr>
                <w:rFonts w:ascii="Times New Roman" w:hAnsi="Times New Roman" w:cs="Times New Roman"/>
                <w:sz w:val="24"/>
                <w:szCs w:val="24"/>
              </w:rPr>
            </w:pPr>
          </w:p>
        </w:tc>
        <w:tc>
          <w:tcPr>
            <w:tcW w:w="1700" w:type="dxa"/>
          </w:tcPr>
          <w:p w14:paraId="3586175C" w14:textId="41D2DB80" w:rsidR="00BD75E5" w:rsidRDefault="00BD75E5" w:rsidP="00BD75E5">
            <w:pPr>
              <w:jc w:val="right"/>
              <w:rPr>
                <w:rFonts w:ascii="Times New Roman" w:hAnsi="Times New Roman" w:cs="Times New Roman"/>
                <w:sz w:val="24"/>
                <w:szCs w:val="24"/>
              </w:rPr>
            </w:pPr>
            <w:r>
              <w:rPr>
                <w:rFonts w:ascii="Times New Roman" w:hAnsi="Times New Roman" w:cs="Times New Roman"/>
                <w:sz w:val="24"/>
                <w:szCs w:val="24"/>
              </w:rPr>
              <w:t>0.5554</w:t>
            </w:r>
          </w:p>
        </w:tc>
        <w:tc>
          <w:tcPr>
            <w:tcW w:w="1169" w:type="dxa"/>
          </w:tcPr>
          <w:p w14:paraId="743AFB30" w14:textId="77777777" w:rsidR="00BD75E5" w:rsidDel="00B77127" w:rsidRDefault="00BD75E5" w:rsidP="00BD75E5">
            <w:pPr>
              <w:jc w:val="center"/>
              <w:rPr>
                <w:rFonts w:ascii="Times New Roman" w:hAnsi="Times New Roman" w:cs="Times New Roman"/>
                <w:sz w:val="24"/>
                <w:szCs w:val="24"/>
              </w:rPr>
            </w:pPr>
          </w:p>
        </w:tc>
        <w:tc>
          <w:tcPr>
            <w:tcW w:w="455" w:type="dxa"/>
          </w:tcPr>
          <w:p w14:paraId="15C34751" w14:textId="77777777" w:rsidR="00BD75E5" w:rsidRPr="00423572" w:rsidRDefault="00BD75E5" w:rsidP="00BD75E5">
            <w:pPr>
              <w:rPr>
                <w:rFonts w:ascii="Times New Roman" w:hAnsi="Times New Roman" w:cs="Times New Roman"/>
                <w:sz w:val="24"/>
                <w:szCs w:val="24"/>
              </w:rPr>
            </w:pPr>
          </w:p>
        </w:tc>
      </w:tr>
    </w:tbl>
    <w:p w14:paraId="631338B6" w14:textId="2F1388CF" w:rsidR="00B06318" w:rsidRDefault="00B06318" w:rsidP="00C37583">
      <w:pPr>
        <w:pBdr>
          <w:bottom w:val="single" w:sz="12" w:space="1" w:color="auto"/>
        </w:pBdr>
        <w:spacing w:line="240" w:lineRule="auto"/>
        <w:contextualSpacing/>
        <w:rPr>
          <w:rFonts w:ascii="Times New Roman" w:hAnsi="Times New Roman" w:cs="Times New Roman"/>
          <w:b/>
          <w:sz w:val="24"/>
          <w:szCs w:val="24"/>
        </w:rPr>
      </w:pPr>
    </w:p>
    <w:p w14:paraId="1FD756F2" w14:textId="15129C7D" w:rsidR="00480C6E" w:rsidRDefault="00480C6E" w:rsidP="00C02101">
      <w:pPr>
        <w:jc w:val="both"/>
        <w:rPr>
          <w:rFonts w:ascii="Times New Roman" w:hAnsi="Times New Roman" w:cs="Times New Roman"/>
          <w:sz w:val="24"/>
          <w:szCs w:val="24"/>
        </w:rPr>
      </w:pPr>
      <w:r>
        <w:rPr>
          <w:rFonts w:ascii="Times New Roman" w:hAnsi="Times New Roman" w:cs="Times New Roman"/>
          <w:b/>
          <w:vertAlign w:val="superscript"/>
        </w:rPr>
        <w:t>a</w:t>
      </w:r>
      <w:r>
        <w:rPr>
          <w:rFonts w:ascii="Times New Roman" w:hAnsi="Times New Roman" w:cs="Times New Roman"/>
          <w:sz w:val="24"/>
          <w:szCs w:val="24"/>
        </w:rPr>
        <w:t xml:space="preserve">This table </w:t>
      </w:r>
      <w:r w:rsidRPr="00B27C02">
        <w:rPr>
          <w:rFonts w:ascii="Times New Roman" w:hAnsi="Times New Roman" w:cs="Times New Roman"/>
          <w:sz w:val="24"/>
          <w:szCs w:val="24"/>
        </w:rPr>
        <w:t>presents</w:t>
      </w:r>
      <w:r>
        <w:rPr>
          <w:rFonts w:ascii="Times New Roman" w:hAnsi="Times New Roman" w:cs="Times New Roman"/>
          <w:sz w:val="24"/>
          <w:szCs w:val="24"/>
        </w:rPr>
        <w:t xml:space="preserve"> descriptive statistics on means of the matching covariates of switchers vs capitalizers (base sample for regression with RD_Gwth as dependent variable) before and after entropy balancing. </w:t>
      </w:r>
      <w:r>
        <w:rPr>
          <w:rFonts w:ascii="Times New Roman" w:hAnsi="Times New Roman"/>
          <w:sz w:val="24"/>
          <w:szCs w:val="24"/>
        </w:rPr>
        <w:t>RD_Gwth</w:t>
      </w:r>
      <w:r w:rsidRPr="00FD3A6E">
        <w:rPr>
          <w:rFonts w:ascii="Times New Roman" w:hAnsi="Times New Roman"/>
          <w:sz w:val="24"/>
          <w:szCs w:val="24"/>
        </w:rPr>
        <w:t xml:space="preserve"> </w:t>
      </w:r>
      <w:r>
        <w:rPr>
          <w:rFonts w:ascii="Times New Roman" w:hAnsi="Times New Roman"/>
          <w:sz w:val="24"/>
          <w:szCs w:val="24"/>
        </w:rPr>
        <w:t>is the change in R&amp;D expenditures divided by lagged R&amp;D expenditures.</w:t>
      </w:r>
      <w:r>
        <w:rPr>
          <w:rFonts w:ascii="Times New Roman" w:hAnsi="Times New Roman" w:cs="Times New Roman"/>
          <w:sz w:val="24"/>
          <w:szCs w:val="24"/>
        </w:rPr>
        <w:t xml:space="preserve"> See </w:t>
      </w:r>
      <w:r w:rsidR="003C7B8A">
        <w:rPr>
          <w:rFonts w:ascii="Times New Roman" w:hAnsi="Times New Roman" w:cs="Times New Roman"/>
          <w:sz w:val="24"/>
          <w:szCs w:val="24"/>
        </w:rPr>
        <w:t>T</w:t>
      </w:r>
      <w:r>
        <w:rPr>
          <w:rFonts w:ascii="Times New Roman" w:hAnsi="Times New Roman" w:cs="Times New Roman"/>
          <w:sz w:val="24"/>
          <w:szCs w:val="24"/>
        </w:rPr>
        <w:t xml:space="preserve">able 1 for the definition of switchers and capitalizers. See Table 4 for the definition of matching covariates. </w:t>
      </w:r>
    </w:p>
    <w:p w14:paraId="19D25AB2" w14:textId="77777777" w:rsidR="00480C6E" w:rsidRDefault="00480C6E" w:rsidP="00C37583">
      <w:pPr>
        <w:spacing w:line="240" w:lineRule="auto"/>
        <w:contextualSpacing/>
        <w:rPr>
          <w:rFonts w:ascii="Times New Roman" w:hAnsi="Times New Roman" w:cs="Times New Roman"/>
          <w:b/>
          <w:sz w:val="24"/>
          <w:szCs w:val="24"/>
        </w:rPr>
        <w:sectPr w:rsidR="00480C6E" w:rsidSect="00E94A3A">
          <w:pgSz w:w="12240" w:h="15840"/>
          <w:pgMar w:top="1276" w:right="1440" w:bottom="1440" w:left="1440" w:header="720" w:footer="720" w:gutter="0"/>
          <w:cols w:space="720"/>
          <w:docGrid w:linePitch="360"/>
        </w:sectPr>
      </w:pPr>
    </w:p>
    <w:p w14:paraId="4D58DCD0" w14:textId="77777777" w:rsidR="003808C1" w:rsidRDefault="003808C1" w:rsidP="00AE251F">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Table 6</w:t>
      </w:r>
    </w:p>
    <w:p w14:paraId="651C034F" w14:textId="77777777" w:rsidR="003808C1" w:rsidRDefault="003808C1" w:rsidP="00AE251F">
      <w:pPr>
        <w:pBdr>
          <w:bottom w:val="single" w:sz="12" w:space="1" w:color="auto"/>
        </w:pBd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Primary Regression Results</w:t>
      </w:r>
      <w:r>
        <w:rPr>
          <w:rFonts w:ascii="Times New Roman" w:hAnsi="Times New Roman" w:cs="Times New Roman"/>
          <w:b/>
          <w:sz w:val="24"/>
          <w:szCs w:val="24"/>
          <w:vertAlign w:val="superscript"/>
        </w:rPr>
        <w:t>a</w:t>
      </w:r>
    </w:p>
    <w:p w14:paraId="46C43C31" w14:textId="77777777" w:rsidR="005923C0" w:rsidRDefault="005923C0" w:rsidP="00AE251F">
      <w:pPr>
        <w:spacing w:line="240" w:lineRule="auto"/>
        <w:contextualSpacing/>
        <w:rPr>
          <w:rFonts w:ascii="Times New Roman" w:hAnsi="Times New Roman" w:cs="Times New Roman"/>
          <w:b/>
          <w:sz w:val="24"/>
          <w:szCs w:val="24"/>
        </w:rPr>
      </w:pPr>
    </w:p>
    <w:tbl>
      <w:tblPr>
        <w:tblW w:w="9073" w:type="dxa"/>
        <w:jc w:val="center"/>
        <w:tblLayout w:type="fixed"/>
        <w:tblCellMar>
          <w:left w:w="75" w:type="dxa"/>
          <w:right w:w="75" w:type="dxa"/>
        </w:tblCellMar>
        <w:tblLook w:val="0000" w:firstRow="0" w:lastRow="0" w:firstColumn="0" w:lastColumn="0" w:noHBand="0" w:noVBand="0"/>
      </w:tblPr>
      <w:tblGrid>
        <w:gridCol w:w="3545"/>
        <w:gridCol w:w="2268"/>
        <w:gridCol w:w="1584"/>
        <w:gridCol w:w="1676"/>
      </w:tblGrid>
      <w:tr w:rsidR="005923C0" w14:paraId="4878FA49" w14:textId="77777777" w:rsidTr="006E17B8">
        <w:trPr>
          <w:jc w:val="center"/>
        </w:trPr>
        <w:tc>
          <w:tcPr>
            <w:tcW w:w="3545" w:type="dxa"/>
            <w:tcBorders>
              <w:top w:val="single" w:sz="6" w:space="0" w:color="auto"/>
              <w:left w:val="nil"/>
              <w:bottom w:val="nil"/>
              <w:right w:val="nil"/>
            </w:tcBorders>
          </w:tcPr>
          <w:p w14:paraId="2B503EFF" w14:textId="77777777" w:rsidR="005923C0" w:rsidRDefault="005923C0" w:rsidP="006E17B8">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single" w:sz="6" w:space="0" w:color="auto"/>
              <w:left w:val="nil"/>
              <w:bottom w:val="nil"/>
              <w:right w:val="nil"/>
            </w:tcBorders>
          </w:tcPr>
          <w:p w14:paraId="408D7E33"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84" w:type="dxa"/>
            <w:tcBorders>
              <w:top w:val="single" w:sz="6" w:space="0" w:color="auto"/>
              <w:left w:val="nil"/>
              <w:bottom w:val="nil"/>
              <w:right w:val="nil"/>
            </w:tcBorders>
          </w:tcPr>
          <w:p w14:paraId="0F2F41E6"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76" w:type="dxa"/>
            <w:tcBorders>
              <w:top w:val="single" w:sz="6" w:space="0" w:color="auto"/>
              <w:left w:val="nil"/>
              <w:bottom w:val="nil"/>
              <w:right w:val="nil"/>
            </w:tcBorders>
          </w:tcPr>
          <w:p w14:paraId="22FFC017"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5923C0" w14:paraId="3EE480A8" w14:textId="77777777" w:rsidTr="006E17B8">
        <w:trPr>
          <w:jc w:val="center"/>
        </w:trPr>
        <w:tc>
          <w:tcPr>
            <w:tcW w:w="3545" w:type="dxa"/>
            <w:tcBorders>
              <w:top w:val="nil"/>
              <w:left w:val="nil"/>
              <w:bottom w:val="single" w:sz="6" w:space="0" w:color="auto"/>
              <w:right w:val="nil"/>
            </w:tcBorders>
          </w:tcPr>
          <w:p w14:paraId="6426AABE" w14:textId="77777777" w:rsidR="005923C0" w:rsidRDefault="005923C0" w:rsidP="006E17B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VARIABLES</w:t>
            </w:r>
          </w:p>
        </w:tc>
        <w:tc>
          <w:tcPr>
            <w:tcW w:w="2268" w:type="dxa"/>
            <w:tcBorders>
              <w:top w:val="nil"/>
              <w:left w:val="nil"/>
              <w:bottom w:val="single" w:sz="6" w:space="0" w:color="auto"/>
              <w:right w:val="nil"/>
            </w:tcBorders>
            <w:vAlign w:val="center"/>
          </w:tcPr>
          <w:p w14:paraId="3A712E44"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sidRPr="00A86FDC">
              <w:rPr>
                <w:rFonts w:ascii="Times New Roman" w:hAnsi="Times New Roman"/>
                <w:color w:val="000000"/>
                <w:sz w:val="24"/>
                <w:szCs w:val="24"/>
              </w:rPr>
              <w:t>RD_Gwth</w:t>
            </w:r>
          </w:p>
        </w:tc>
        <w:tc>
          <w:tcPr>
            <w:tcW w:w="1584" w:type="dxa"/>
            <w:tcBorders>
              <w:top w:val="nil"/>
              <w:left w:val="nil"/>
              <w:bottom w:val="single" w:sz="6" w:space="0" w:color="auto"/>
              <w:right w:val="nil"/>
            </w:tcBorders>
            <w:vAlign w:val="center"/>
          </w:tcPr>
          <w:p w14:paraId="2308A81E"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sidRPr="00A86FDC">
              <w:rPr>
                <w:rFonts w:ascii="Times New Roman" w:hAnsi="Times New Roman"/>
                <w:color w:val="000000"/>
                <w:sz w:val="24"/>
                <w:szCs w:val="24"/>
              </w:rPr>
              <w:t>RD_TA</w:t>
            </w:r>
          </w:p>
        </w:tc>
        <w:tc>
          <w:tcPr>
            <w:tcW w:w="1676" w:type="dxa"/>
            <w:tcBorders>
              <w:top w:val="nil"/>
              <w:left w:val="nil"/>
              <w:bottom w:val="single" w:sz="6" w:space="0" w:color="auto"/>
              <w:right w:val="nil"/>
            </w:tcBorders>
            <w:vAlign w:val="center"/>
          </w:tcPr>
          <w:p w14:paraId="1E265055"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sidRPr="00A86FDC">
              <w:rPr>
                <w:rFonts w:ascii="Times New Roman" w:hAnsi="Times New Roman"/>
                <w:color w:val="000000"/>
                <w:sz w:val="24"/>
                <w:szCs w:val="24"/>
              </w:rPr>
              <w:t>RD_Sales</w:t>
            </w:r>
          </w:p>
        </w:tc>
      </w:tr>
      <w:tr w:rsidR="005923C0" w14:paraId="5F9CA8E0" w14:textId="77777777" w:rsidTr="006E17B8">
        <w:trPr>
          <w:jc w:val="center"/>
        </w:trPr>
        <w:tc>
          <w:tcPr>
            <w:tcW w:w="3545" w:type="dxa"/>
            <w:tcBorders>
              <w:top w:val="nil"/>
              <w:left w:val="nil"/>
              <w:bottom w:val="nil"/>
              <w:right w:val="nil"/>
            </w:tcBorders>
          </w:tcPr>
          <w:p w14:paraId="5F287436" w14:textId="77777777" w:rsidR="005923C0" w:rsidRDefault="005923C0" w:rsidP="006E17B8">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2DFF2AE3"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p>
        </w:tc>
        <w:tc>
          <w:tcPr>
            <w:tcW w:w="1584" w:type="dxa"/>
            <w:tcBorders>
              <w:top w:val="nil"/>
              <w:left w:val="nil"/>
              <w:bottom w:val="nil"/>
              <w:right w:val="nil"/>
            </w:tcBorders>
          </w:tcPr>
          <w:p w14:paraId="311D1631"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p>
        </w:tc>
        <w:tc>
          <w:tcPr>
            <w:tcW w:w="1676" w:type="dxa"/>
            <w:tcBorders>
              <w:top w:val="nil"/>
              <w:left w:val="nil"/>
              <w:bottom w:val="nil"/>
              <w:right w:val="nil"/>
            </w:tcBorders>
          </w:tcPr>
          <w:p w14:paraId="43E91378"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p>
        </w:tc>
      </w:tr>
      <w:tr w:rsidR="005923C0" w14:paraId="6E0A950E" w14:textId="77777777" w:rsidTr="006E17B8">
        <w:trPr>
          <w:jc w:val="center"/>
        </w:trPr>
        <w:tc>
          <w:tcPr>
            <w:tcW w:w="3545" w:type="dxa"/>
            <w:tcBorders>
              <w:top w:val="nil"/>
              <w:left w:val="nil"/>
              <w:bottom w:val="nil"/>
              <w:right w:val="nil"/>
            </w:tcBorders>
          </w:tcPr>
          <w:p w14:paraId="180781C1" w14:textId="77777777" w:rsidR="005923C0" w:rsidRDefault="005923C0" w:rsidP="006E17B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SWITCH*IFRS year – 3</w:t>
            </w:r>
          </w:p>
        </w:tc>
        <w:tc>
          <w:tcPr>
            <w:tcW w:w="2268" w:type="dxa"/>
            <w:tcBorders>
              <w:top w:val="nil"/>
              <w:left w:val="nil"/>
              <w:bottom w:val="nil"/>
              <w:right w:val="nil"/>
            </w:tcBorders>
          </w:tcPr>
          <w:p w14:paraId="73097D8F"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0.058</w:t>
            </w:r>
          </w:p>
        </w:tc>
        <w:tc>
          <w:tcPr>
            <w:tcW w:w="1584" w:type="dxa"/>
            <w:tcBorders>
              <w:top w:val="nil"/>
              <w:left w:val="nil"/>
              <w:bottom w:val="nil"/>
              <w:right w:val="nil"/>
            </w:tcBorders>
          </w:tcPr>
          <w:p w14:paraId="4E22DCD8"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w:t>
            </w:r>
          </w:p>
        </w:tc>
        <w:tc>
          <w:tcPr>
            <w:tcW w:w="1676" w:type="dxa"/>
            <w:tcBorders>
              <w:top w:val="nil"/>
              <w:left w:val="nil"/>
              <w:bottom w:val="nil"/>
              <w:right w:val="nil"/>
            </w:tcBorders>
          </w:tcPr>
          <w:p w14:paraId="2A7F3B16"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-0.023</w:t>
            </w:r>
          </w:p>
        </w:tc>
      </w:tr>
      <w:tr w:rsidR="005923C0" w14:paraId="1CB94332" w14:textId="77777777" w:rsidTr="006E17B8">
        <w:trPr>
          <w:jc w:val="center"/>
        </w:trPr>
        <w:tc>
          <w:tcPr>
            <w:tcW w:w="3545" w:type="dxa"/>
            <w:tcBorders>
              <w:top w:val="nil"/>
              <w:left w:val="nil"/>
              <w:bottom w:val="nil"/>
              <w:right w:val="nil"/>
            </w:tcBorders>
          </w:tcPr>
          <w:p w14:paraId="270520AA" w14:textId="77777777" w:rsidR="005923C0" w:rsidRDefault="005923C0" w:rsidP="006E17B8">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0AC2E6DD"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(0.46)</w:t>
            </w:r>
          </w:p>
        </w:tc>
        <w:tc>
          <w:tcPr>
            <w:tcW w:w="1584" w:type="dxa"/>
            <w:tcBorders>
              <w:top w:val="nil"/>
              <w:left w:val="nil"/>
              <w:bottom w:val="nil"/>
              <w:right w:val="nil"/>
            </w:tcBorders>
          </w:tcPr>
          <w:p w14:paraId="721F5C3D"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(-0.07)</w:t>
            </w:r>
          </w:p>
        </w:tc>
        <w:tc>
          <w:tcPr>
            <w:tcW w:w="1676" w:type="dxa"/>
            <w:tcBorders>
              <w:top w:val="nil"/>
              <w:left w:val="nil"/>
              <w:bottom w:val="nil"/>
              <w:right w:val="nil"/>
            </w:tcBorders>
          </w:tcPr>
          <w:p w14:paraId="38227397"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(-0.86)</w:t>
            </w:r>
          </w:p>
        </w:tc>
      </w:tr>
      <w:tr w:rsidR="005923C0" w14:paraId="0215B8ED" w14:textId="77777777" w:rsidTr="006E17B8">
        <w:trPr>
          <w:jc w:val="center"/>
        </w:trPr>
        <w:tc>
          <w:tcPr>
            <w:tcW w:w="3545" w:type="dxa"/>
            <w:tcBorders>
              <w:top w:val="nil"/>
              <w:left w:val="nil"/>
              <w:bottom w:val="nil"/>
              <w:right w:val="nil"/>
            </w:tcBorders>
          </w:tcPr>
          <w:p w14:paraId="0A5398C1" w14:textId="77777777" w:rsidR="005923C0" w:rsidRDefault="005923C0" w:rsidP="006E17B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SWITCH*IFRS year – 2</w:t>
            </w:r>
          </w:p>
        </w:tc>
        <w:tc>
          <w:tcPr>
            <w:tcW w:w="2268" w:type="dxa"/>
            <w:tcBorders>
              <w:top w:val="nil"/>
              <w:left w:val="nil"/>
              <w:bottom w:val="nil"/>
              <w:right w:val="nil"/>
            </w:tcBorders>
          </w:tcPr>
          <w:p w14:paraId="4417D172"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0.116</w:t>
            </w:r>
          </w:p>
        </w:tc>
        <w:tc>
          <w:tcPr>
            <w:tcW w:w="1584" w:type="dxa"/>
            <w:tcBorders>
              <w:top w:val="nil"/>
              <w:left w:val="nil"/>
              <w:bottom w:val="nil"/>
              <w:right w:val="nil"/>
            </w:tcBorders>
          </w:tcPr>
          <w:p w14:paraId="60CAD821"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0.013</w:t>
            </w:r>
          </w:p>
        </w:tc>
        <w:tc>
          <w:tcPr>
            <w:tcW w:w="1676" w:type="dxa"/>
            <w:tcBorders>
              <w:top w:val="nil"/>
              <w:left w:val="nil"/>
              <w:bottom w:val="nil"/>
              <w:right w:val="nil"/>
            </w:tcBorders>
          </w:tcPr>
          <w:p w14:paraId="60D26265"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0.014</w:t>
            </w:r>
          </w:p>
        </w:tc>
      </w:tr>
      <w:tr w:rsidR="005923C0" w14:paraId="0C1F2367" w14:textId="77777777" w:rsidTr="006E17B8">
        <w:trPr>
          <w:jc w:val="center"/>
        </w:trPr>
        <w:tc>
          <w:tcPr>
            <w:tcW w:w="3545" w:type="dxa"/>
            <w:tcBorders>
              <w:top w:val="nil"/>
              <w:left w:val="nil"/>
              <w:bottom w:val="nil"/>
              <w:right w:val="nil"/>
            </w:tcBorders>
          </w:tcPr>
          <w:p w14:paraId="166415B8" w14:textId="77777777" w:rsidR="005923C0" w:rsidRDefault="005923C0" w:rsidP="006E17B8">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18A20179"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(0.98)</w:t>
            </w:r>
          </w:p>
        </w:tc>
        <w:tc>
          <w:tcPr>
            <w:tcW w:w="1584" w:type="dxa"/>
            <w:tcBorders>
              <w:top w:val="nil"/>
              <w:left w:val="nil"/>
              <w:bottom w:val="nil"/>
              <w:right w:val="nil"/>
            </w:tcBorders>
          </w:tcPr>
          <w:p w14:paraId="1A1F5055"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1676" w:type="dxa"/>
            <w:tcBorders>
              <w:top w:val="nil"/>
              <w:left w:val="nil"/>
              <w:bottom w:val="nil"/>
              <w:right w:val="nil"/>
            </w:tcBorders>
          </w:tcPr>
          <w:p w14:paraId="3E598A65"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(1.49)</w:t>
            </w:r>
          </w:p>
        </w:tc>
      </w:tr>
      <w:tr w:rsidR="005923C0" w14:paraId="1AFE15D5" w14:textId="77777777" w:rsidTr="006E17B8">
        <w:trPr>
          <w:jc w:val="center"/>
        </w:trPr>
        <w:tc>
          <w:tcPr>
            <w:tcW w:w="3545" w:type="dxa"/>
            <w:tcBorders>
              <w:top w:val="nil"/>
              <w:left w:val="nil"/>
              <w:bottom w:val="nil"/>
              <w:right w:val="nil"/>
            </w:tcBorders>
          </w:tcPr>
          <w:p w14:paraId="219DF0AD" w14:textId="77777777" w:rsidR="005923C0" w:rsidRDefault="005923C0" w:rsidP="006E17B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SWITCH*IFRS year – 1</w:t>
            </w:r>
          </w:p>
        </w:tc>
        <w:tc>
          <w:tcPr>
            <w:tcW w:w="2268" w:type="dxa"/>
            <w:tcBorders>
              <w:top w:val="nil"/>
              <w:left w:val="nil"/>
              <w:bottom w:val="nil"/>
              <w:right w:val="nil"/>
            </w:tcBorders>
          </w:tcPr>
          <w:p w14:paraId="4326D08C"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0.077</w:t>
            </w:r>
          </w:p>
        </w:tc>
        <w:tc>
          <w:tcPr>
            <w:tcW w:w="1584" w:type="dxa"/>
            <w:tcBorders>
              <w:top w:val="nil"/>
              <w:left w:val="nil"/>
              <w:bottom w:val="nil"/>
              <w:right w:val="nil"/>
            </w:tcBorders>
          </w:tcPr>
          <w:p w14:paraId="431B7170"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-0.009</w:t>
            </w:r>
          </w:p>
        </w:tc>
        <w:tc>
          <w:tcPr>
            <w:tcW w:w="1676" w:type="dxa"/>
            <w:tcBorders>
              <w:top w:val="nil"/>
              <w:left w:val="nil"/>
              <w:bottom w:val="nil"/>
              <w:right w:val="nil"/>
            </w:tcBorders>
          </w:tcPr>
          <w:p w14:paraId="0EDBA2B8"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-0.018</w:t>
            </w:r>
          </w:p>
        </w:tc>
      </w:tr>
      <w:tr w:rsidR="005923C0" w14:paraId="2C2B8205" w14:textId="77777777" w:rsidTr="006E17B8">
        <w:trPr>
          <w:jc w:val="center"/>
        </w:trPr>
        <w:tc>
          <w:tcPr>
            <w:tcW w:w="3545" w:type="dxa"/>
            <w:tcBorders>
              <w:top w:val="nil"/>
              <w:left w:val="nil"/>
              <w:bottom w:val="nil"/>
              <w:right w:val="nil"/>
            </w:tcBorders>
          </w:tcPr>
          <w:p w14:paraId="20984D92" w14:textId="77777777" w:rsidR="005923C0" w:rsidRDefault="005923C0" w:rsidP="006E17B8">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0DE48E91"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(0.58)</w:t>
            </w:r>
          </w:p>
        </w:tc>
        <w:tc>
          <w:tcPr>
            <w:tcW w:w="1584" w:type="dxa"/>
            <w:tcBorders>
              <w:top w:val="nil"/>
              <w:left w:val="nil"/>
              <w:bottom w:val="nil"/>
              <w:right w:val="nil"/>
            </w:tcBorders>
          </w:tcPr>
          <w:p w14:paraId="143E10D1"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(-0.54)</w:t>
            </w:r>
          </w:p>
        </w:tc>
        <w:tc>
          <w:tcPr>
            <w:tcW w:w="1676" w:type="dxa"/>
            <w:tcBorders>
              <w:top w:val="nil"/>
              <w:left w:val="nil"/>
              <w:bottom w:val="nil"/>
              <w:right w:val="nil"/>
            </w:tcBorders>
          </w:tcPr>
          <w:p w14:paraId="2C17E7FC"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(-0.60)</w:t>
            </w:r>
          </w:p>
        </w:tc>
      </w:tr>
      <w:tr w:rsidR="005923C0" w14:paraId="0627B59D" w14:textId="77777777" w:rsidTr="006E17B8">
        <w:trPr>
          <w:jc w:val="center"/>
        </w:trPr>
        <w:tc>
          <w:tcPr>
            <w:tcW w:w="3545" w:type="dxa"/>
            <w:tcBorders>
              <w:top w:val="nil"/>
              <w:left w:val="nil"/>
              <w:bottom w:val="nil"/>
              <w:right w:val="nil"/>
            </w:tcBorders>
          </w:tcPr>
          <w:p w14:paraId="1C27BAA2" w14:textId="77777777" w:rsidR="005923C0" w:rsidRDefault="005923C0" w:rsidP="006E17B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SWITCH*IFRS year</w:t>
            </w:r>
          </w:p>
        </w:tc>
        <w:tc>
          <w:tcPr>
            <w:tcW w:w="2268" w:type="dxa"/>
            <w:tcBorders>
              <w:top w:val="nil"/>
              <w:left w:val="nil"/>
              <w:bottom w:val="nil"/>
              <w:right w:val="nil"/>
            </w:tcBorders>
          </w:tcPr>
          <w:p w14:paraId="3B2F90E6"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0.284*</w:t>
            </w:r>
          </w:p>
        </w:tc>
        <w:tc>
          <w:tcPr>
            <w:tcW w:w="1584" w:type="dxa"/>
            <w:tcBorders>
              <w:top w:val="nil"/>
              <w:left w:val="nil"/>
              <w:bottom w:val="nil"/>
              <w:right w:val="nil"/>
            </w:tcBorders>
          </w:tcPr>
          <w:p w14:paraId="2AD69C4D"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0.031**</w:t>
            </w:r>
          </w:p>
        </w:tc>
        <w:tc>
          <w:tcPr>
            <w:tcW w:w="1676" w:type="dxa"/>
            <w:tcBorders>
              <w:top w:val="nil"/>
              <w:left w:val="nil"/>
              <w:bottom w:val="nil"/>
              <w:right w:val="nil"/>
            </w:tcBorders>
          </w:tcPr>
          <w:p w14:paraId="0636FA29"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0.027**</w:t>
            </w:r>
          </w:p>
        </w:tc>
      </w:tr>
      <w:tr w:rsidR="005923C0" w14:paraId="08AFA6EC" w14:textId="77777777" w:rsidTr="006E17B8">
        <w:trPr>
          <w:jc w:val="center"/>
        </w:trPr>
        <w:tc>
          <w:tcPr>
            <w:tcW w:w="3545" w:type="dxa"/>
            <w:tcBorders>
              <w:top w:val="nil"/>
              <w:left w:val="nil"/>
              <w:bottom w:val="nil"/>
              <w:right w:val="nil"/>
            </w:tcBorders>
          </w:tcPr>
          <w:p w14:paraId="3C6EFCC9" w14:textId="77777777" w:rsidR="005923C0" w:rsidRDefault="005923C0" w:rsidP="006E17B8">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08E48011"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(1.70)</w:t>
            </w:r>
          </w:p>
        </w:tc>
        <w:tc>
          <w:tcPr>
            <w:tcW w:w="1584" w:type="dxa"/>
            <w:tcBorders>
              <w:top w:val="nil"/>
              <w:left w:val="nil"/>
              <w:bottom w:val="nil"/>
              <w:right w:val="nil"/>
            </w:tcBorders>
          </w:tcPr>
          <w:p w14:paraId="4111C5DF"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(2.13)</w:t>
            </w:r>
          </w:p>
        </w:tc>
        <w:tc>
          <w:tcPr>
            <w:tcW w:w="1676" w:type="dxa"/>
            <w:tcBorders>
              <w:top w:val="nil"/>
              <w:left w:val="nil"/>
              <w:bottom w:val="nil"/>
              <w:right w:val="nil"/>
            </w:tcBorders>
          </w:tcPr>
          <w:p w14:paraId="61E0D09B"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(2.04)</w:t>
            </w:r>
          </w:p>
        </w:tc>
      </w:tr>
      <w:tr w:rsidR="005923C0" w14:paraId="13215F99" w14:textId="77777777" w:rsidTr="006E17B8">
        <w:trPr>
          <w:jc w:val="center"/>
        </w:trPr>
        <w:tc>
          <w:tcPr>
            <w:tcW w:w="3545" w:type="dxa"/>
            <w:tcBorders>
              <w:top w:val="nil"/>
              <w:left w:val="nil"/>
              <w:bottom w:val="nil"/>
              <w:right w:val="nil"/>
            </w:tcBorders>
          </w:tcPr>
          <w:p w14:paraId="55A372B1" w14:textId="77777777" w:rsidR="005923C0" w:rsidRDefault="005923C0" w:rsidP="006E17B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SWITCH*IFRS year + 1</w:t>
            </w:r>
          </w:p>
        </w:tc>
        <w:tc>
          <w:tcPr>
            <w:tcW w:w="2268" w:type="dxa"/>
            <w:tcBorders>
              <w:top w:val="nil"/>
              <w:left w:val="nil"/>
              <w:bottom w:val="nil"/>
              <w:right w:val="nil"/>
            </w:tcBorders>
          </w:tcPr>
          <w:p w14:paraId="7A73CAA9"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0.185</w:t>
            </w:r>
          </w:p>
        </w:tc>
        <w:tc>
          <w:tcPr>
            <w:tcW w:w="1584" w:type="dxa"/>
            <w:tcBorders>
              <w:top w:val="nil"/>
              <w:left w:val="nil"/>
              <w:bottom w:val="nil"/>
              <w:right w:val="nil"/>
            </w:tcBorders>
          </w:tcPr>
          <w:p w14:paraId="4732B7D8"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w:t>
            </w:r>
          </w:p>
        </w:tc>
        <w:tc>
          <w:tcPr>
            <w:tcW w:w="1676" w:type="dxa"/>
            <w:tcBorders>
              <w:top w:val="nil"/>
              <w:left w:val="nil"/>
              <w:bottom w:val="nil"/>
              <w:right w:val="nil"/>
            </w:tcBorders>
          </w:tcPr>
          <w:p w14:paraId="7FC3BC72"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-0.007</w:t>
            </w:r>
          </w:p>
        </w:tc>
      </w:tr>
      <w:tr w:rsidR="005923C0" w14:paraId="6F00C619" w14:textId="77777777" w:rsidTr="006E17B8">
        <w:trPr>
          <w:jc w:val="center"/>
        </w:trPr>
        <w:tc>
          <w:tcPr>
            <w:tcW w:w="3545" w:type="dxa"/>
            <w:tcBorders>
              <w:top w:val="nil"/>
              <w:left w:val="nil"/>
              <w:bottom w:val="nil"/>
              <w:right w:val="nil"/>
            </w:tcBorders>
          </w:tcPr>
          <w:p w14:paraId="025D1F91" w14:textId="77777777" w:rsidR="005923C0" w:rsidRDefault="005923C0" w:rsidP="006E17B8">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4990ACE1"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(0.90)</w:t>
            </w:r>
          </w:p>
        </w:tc>
        <w:tc>
          <w:tcPr>
            <w:tcW w:w="1584" w:type="dxa"/>
            <w:tcBorders>
              <w:top w:val="nil"/>
              <w:left w:val="nil"/>
              <w:bottom w:val="nil"/>
              <w:right w:val="nil"/>
            </w:tcBorders>
          </w:tcPr>
          <w:p w14:paraId="4E451E37"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(-0.10)</w:t>
            </w:r>
          </w:p>
        </w:tc>
        <w:tc>
          <w:tcPr>
            <w:tcW w:w="1676" w:type="dxa"/>
            <w:tcBorders>
              <w:top w:val="nil"/>
              <w:left w:val="nil"/>
              <w:bottom w:val="nil"/>
              <w:right w:val="nil"/>
            </w:tcBorders>
          </w:tcPr>
          <w:p w14:paraId="4CA4F2BB"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(-0.27)</w:t>
            </w:r>
          </w:p>
        </w:tc>
      </w:tr>
      <w:tr w:rsidR="005923C0" w14:paraId="4791AB19" w14:textId="77777777" w:rsidTr="006E17B8">
        <w:trPr>
          <w:jc w:val="center"/>
        </w:trPr>
        <w:tc>
          <w:tcPr>
            <w:tcW w:w="3545" w:type="dxa"/>
            <w:tcBorders>
              <w:top w:val="nil"/>
              <w:left w:val="nil"/>
              <w:bottom w:val="nil"/>
              <w:right w:val="nil"/>
            </w:tcBorders>
          </w:tcPr>
          <w:p w14:paraId="0BBCA8F1" w14:textId="77777777" w:rsidR="005923C0" w:rsidRDefault="005923C0" w:rsidP="006E17B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SWITCH*IFRS year + 2</w:t>
            </w:r>
          </w:p>
        </w:tc>
        <w:tc>
          <w:tcPr>
            <w:tcW w:w="2268" w:type="dxa"/>
            <w:tcBorders>
              <w:top w:val="nil"/>
              <w:left w:val="nil"/>
              <w:bottom w:val="nil"/>
              <w:right w:val="nil"/>
            </w:tcBorders>
          </w:tcPr>
          <w:p w14:paraId="5FA9E2C4"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0.201</w:t>
            </w:r>
          </w:p>
        </w:tc>
        <w:tc>
          <w:tcPr>
            <w:tcW w:w="1584" w:type="dxa"/>
            <w:tcBorders>
              <w:top w:val="nil"/>
              <w:left w:val="nil"/>
              <w:bottom w:val="nil"/>
              <w:right w:val="nil"/>
            </w:tcBorders>
          </w:tcPr>
          <w:p w14:paraId="136D6268"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0.008</w:t>
            </w:r>
          </w:p>
        </w:tc>
        <w:tc>
          <w:tcPr>
            <w:tcW w:w="1676" w:type="dxa"/>
            <w:tcBorders>
              <w:top w:val="nil"/>
              <w:left w:val="nil"/>
              <w:bottom w:val="nil"/>
              <w:right w:val="nil"/>
            </w:tcBorders>
          </w:tcPr>
          <w:p w14:paraId="6664E427"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0.015</w:t>
            </w:r>
          </w:p>
        </w:tc>
      </w:tr>
      <w:tr w:rsidR="005923C0" w14:paraId="1295DB8C" w14:textId="77777777" w:rsidTr="006E17B8">
        <w:trPr>
          <w:jc w:val="center"/>
        </w:trPr>
        <w:tc>
          <w:tcPr>
            <w:tcW w:w="3545" w:type="dxa"/>
            <w:tcBorders>
              <w:top w:val="nil"/>
              <w:left w:val="nil"/>
              <w:bottom w:val="nil"/>
              <w:right w:val="nil"/>
            </w:tcBorders>
          </w:tcPr>
          <w:p w14:paraId="3A5DAC62" w14:textId="77777777" w:rsidR="005923C0" w:rsidRDefault="005923C0" w:rsidP="006E17B8">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36AAFE53"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(1.30)</w:t>
            </w:r>
          </w:p>
        </w:tc>
        <w:tc>
          <w:tcPr>
            <w:tcW w:w="1584" w:type="dxa"/>
            <w:tcBorders>
              <w:top w:val="nil"/>
              <w:left w:val="nil"/>
              <w:bottom w:val="nil"/>
              <w:right w:val="nil"/>
            </w:tcBorders>
          </w:tcPr>
          <w:p w14:paraId="58EB7E02"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(0.95)</w:t>
            </w:r>
          </w:p>
        </w:tc>
        <w:tc>
          <w:tcPr>
            <w:tcW w:w="1676" w:type="dxa"/>
            <w:tcBorders>
              <w:top w:val="nil"/>
              <w:left w:val="nil"/>
              <w:bottom w:val="nil"/>
              <w:right w:val="nil"/>
            </w:tcBorders>
          </w:tcPr>
          <w:p w14:paraId="5D4DF3FB"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(1.33)</w:t>
            </w:r>
          </w:p>
        </w:tc>
      </w:tr>
      <w:tr w:rsidR="005923C0" w14:paraId="250041B3" w14:textId="77777777" w:rsidTr="006E17B8">
        <w:trPr>
          <w:jc w:val="center"/>
        </w:trPr>
        <w:tc>
          <w:tcPr>
            <w:tcW w:w="3545" w:type="dxa"/>
            <w:tcBorders>
              <w:top w:val="nil"/>
              <w:left w:val="nil"/>
              <w:bottom w:val="nil"/>
              <w:right w:val="nil"/>
            </w:tcBorders>
          </w:tcPr>
          <w:p w14:paraId="1A144AE6" w14:textId="77777777" w:rsidR="005923C0" w:rsidRDefault="005923C0" w:rsidP="006E17B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SWITCH*IFRS year + 3</w:t>
            </w:r>
          </w:p>
        </w:tc>
        <w:tc>
          <w:tcPr>
            <w:tcW w:w="2268" w:type="dxa"/>
            <w:tcBorders>
              <w:top w:val="nil"/>
              <w:left w:val="nil"/>
              <w:bottom w:val="nil"/>
              <w:right w:val="nil"/>
            </w:tcBorders>
          </w:tcPr>
          <w:p w14:paraId="178A2682"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0.158</w:t>
            </w:r>
          </w:p>
        </w:tc>
        <w:tc>
          <w:tcPr>
            <w:tcW w:w="1584" w:type="dxa"/>
            <w:tcBorders>
              <w:top w:val="nil"/>
              <w:left w:val="nil"/>
              <w:bottom w:val="nil"/>
              <w:right w:val="nil"/>
            </w:tcBorders>
          </w:tcPr>
          <w:p w14:paraId="29F4119C"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0.016</w:t>
            </w:r>
          </w:p>
        </w:tc>
        <w:tc>
          <w:tcPr>
            <w:tcW w:w="1676" w:type="dxa"/>
            <w:tcBorders>
              <w:top w:val="nil"/>
              <w:left w:val="nil"/>
              <w:bottom w:val="nil"/>
              <w:right w:val="nil"/>
            </w:tcBorders>
          </w:tcPr>
          <w:p w14:paraId="135452FC"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0.017</w:t>
            </w:r>
          </w:p>
        </w:tc>
      </w:tr>
      <w:tr w:rsidR="005923C0" w14:paraId="1204E9B8" w14:textId="77777777" w:rsidTr="006E17B8">
        <w:trPr>
          <w:jc w:val="center"/>
        </w:trPr>
        <w:tc>
          <w:tcPr>
            <w:tcW w:w="3545" w:type="dxa"/>
            <w:tcBorders>
              <w:top w:val="nil"/>
              <w:left w:val="nil"/>
              <w:bottom w:val="nil"/>
              <w:right w:val="nil"/>
            </w:tcBorders>
          </w:tcPr>
          <w:p w14:paraId="15E533B1" w14:textId="77777777" w:rsidR="005923C0" w:rsidRDefault="005923C0" w:rsidP="006E17B8">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14FCC19B"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(0.90)</w:t>
            </w:r>
          </w:p>
        </w:tc>
        <w:tc>
          <w:tcPr>
            <w:tcW w:w="1584" w:type="dxa"/>
            <w:tcBorders>
              <w:top w:val="nil"/>
              <w:left w:val="nil"/>
              <w:bottom w:val="nil"/>
              <w:right w:val="nil"/>
            </w:tcBorders>
          </w:tcPr>
          <w:p w14:paraId="3F9C028B"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(1.44)</w:t>
            </w:r>
          </w:p>
        </w:tc>
        <w:tc>
          <w:tcPr>
            <w:tcW w:w="1676" w:type="dxa"/>
            <w:tcBorders>
              <w:top w:val="nil"/>
              <w:left w:val="nil"/>
              <w:bottom w:val="nil"/>
              <w:right w:val="nil"/>
            </w:tcBorders>
          </w:tcPr>
          <w:p w14:paraId="5F1A60EA"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(0.83)</w:t>
            </w:r>
          </w:p>
        </w:tc>
      </w:tr>
      <w:tr w:rsidR="005923C0" w14:paraId="0DD4C95B" w14:textId="77777777" w:rsidTr="006E17B8">
        <w:trPr>
          <w:jc w:val="center"/>
        </w:trPr>
        <w:tc>
          <w:tcPr>
            <w:tcW w:w="3545" w:type="dxa"/>
            <w:tcBorders>
              <w:top w:val="nil"/>
              <w:left w:val="nil"/>
              <w:bottom w:val="nil"/>
              <w:right w:val="nil"/>
            </w:tcBorders>
          </w:tcPr>
          <w:p w14:paraId="61870338" w14:textId="77777777" w:rsidR="005923C0" w:rsidRDefault="005923C0" w:rsidP="006E17B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MVE</w:t>
            </w:r>
          </w:p>
        </w:tc>
        <w:tc>
          <w:tcPr>
            <w:tcW w:w="2268" w:type="dxa"/>
            <w:tcBorders>
              <w:top w:val="nil"/>
              <w:left w:val="nil"/>
              <w:bottom w:val="nil"/>
              <w:right w:val="nil"/>
            </w:tcBorders>
          </w:tcPr>
          <w:p w14:paraId="13937136"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0.173***</w:t>
            </w:r>
          </w:p>
        </w:tc>
        <w:tc>
          <w:tcPr>
            <w:tcW w:w="1584" w:type="dxa"/>
            <w:tcBorders>
              <w:top w:val="nil"/>
              <w:left w:val="nil"/>
              <w:bottom w:val="nil"/>
              <w:right w:val="nil"/>
            </w:tcBorders>
          </w:tcPr>
          <w:p w14:paraId="1A6ACD61"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w:t>
            </w:r>
          </w:p>
        </w:tc>
        <w:tc>
          <w:tcPr>
            <w:tcW w:w="1676" w:type="dxa"/>
            <w:tcBorders>
              <w:top w:val="nil"/>
              <w:left w:val="nil"/>
              <w:bottom w:val="nil"/>
              <w:right w:val="nil"/>
            </w:tcBorders>
          </w:tcPr>
          <w:p w14:paraId="0E55D4E3"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0.007</w:t>
            </w:r>
          </w:p>
        </w:tc>
      </w:tr>
      <w:tr w:rsidR="005923C0" w14:paraId="73A1B75E" w14:textId="77777777" w:rsidTr="006E17B8">
        <w:trPr>
          <w:jc w:val="center"/>
        </w:trPr>
        <w:tc>
          <w:tcPr>
            <w:tcW w:w="3545" w:type="dxa"/>
            <w:tcBorders>
              <w:top w:val="nil"/>
              <w:left w:val="nil"/>
              <w:bottom w:val="nil"/>
              <w:right w:val="nil"/>
            </w:tcBorders>
          </w:tcPr>
          <w:p w14:paraId="373D6713" w14:textId="77777777" w:rsidR="005923C0" w:rsidRDefault="005923C0" w:rsidP="006E17B8">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49A81486"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(3.93)</w:t>
            </w:r>
          </w:p>
        </w:tc>
        <w:tc>
          <w:tcPr>
            <w:tcW w:w="1584" w:type="dxa"/>
            <w:tcBorders>
              <w:top w:val="nil"/>
              <w:left w:val="nil"/>
              <w:bottom w:val="nil"/>
              <w:right w:val="nil"/>
            </w:tcBorders>
          </w:tcPr>
          <w:p w14:paraId="5028439A"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(0.18)</w:t>
            </w:r>
          </w:p>
        </w:tc>
        <w:tc>
          <w:tcPr>
            <w:tcW w:w="1676" w:type="dxa"/>
            <w:tcBorders>
              <w:top w:val="nil"/>
              <w:left w:val="nil"/>
              <w:bottom w:val="nil"/>
              <w:right w:val="nil"/>
            </w:tcBorders>
          </w:tcPr>
          <w:p w14:paraId="33B64C81"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(1.16)</w:t>
            </w:r>
          </w:p>
        </w:tc>
      </w:tr>
      <w:tr w:rsidR="005923C0" w14:paraId="3E495FC9" w14:textId="77777777" w:rsidTr="006E17B8">
        <w:trPr>
          <w:jc w:val="center"/>
        </w:trPr>
        <w:tc>
          <w:tcPr>
            <w:tcW w:w="3545" w:type="dxa"/>
            <w:tcBorders>
              <w:top w:val="nil"/>
              <w:left w:val="nil"/>
              <w:bottom w:val="nil"/>
              <w:right w:val="nil"/>
            </w:tcBorders>
          </w:tcPr>
          <w:p w14:paraId="1E048E6E" w14:textId="246D46A8" w:rsidR="005923C0" w:rsidRDefault="005923C0" w:rsidP="006E17B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TOBIN</w:t>
            </w:r>
            <w:r w:rsidR="00723C53">
              <w:rPr>
                <w:rFonts w:ascii="Times New Roman" w:hAnsi="Times New Roman" w:cs="Times New Roman"/>
                <w:sz w:val="24"/>
                <w:szCs w:val="24"/>
              </w:rPr>
              <w:t>’s</w:t>
            </w:r>
            <w:r>
              <w:rPr>
                <w:rFonts w:ascii="Times New Roman" w:hAnsi="Times New Roman" w:cs="Times New Roman"/>
                <w:sz w:val="24"/>
                <w:szCs w:val="24"/>
              </w:rPr>
              <w:t xml:space="preserve"> Q</w:t>
            </w:r>
          </w:p>
        </w:tc>
        <w:tc>
          <w:tcPr>
            <w:tcW w:w="2268" w:type="dxa"/>
            <w:tcBorders>
              <w:top w:val="nil"/>
              <w:left w:val="nil"/>
              <w:bottom w:val="nil"/>
              <w:right w:val="nil"/>
            </w:tcBorders>
          </w:tcPr>
          <w:p w14:paraId="2FD8E06A"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-0.009</w:t>
            </w:r>
          </w:p>
        </w:tc>
        <w:tc>
          <w:tcPr>
            <w:tcW w:w="1584" w:type="dxa"/>
            <w:tcBorders>
              <w:top w:val="nil"/>
              <w:left w:val="nil"/>
              <w:bottom w:val="nil"/>
              <w:right w:val="nil"/>
            </w:tcBorders>
          </w:tcPr>
          <w:p w14:paraId="2E25FCCE"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w:t>
            </w:r>
          </w:p>
        </w:tc>
        <w:tc>
          <w:tcPr>
            <w:tcW w:w="1676" w:type="dxa"/>
            <w:tcBorders>
              <w:top w:val="nil"/>
              <w:left w:val="nil"/>
              <w:bottom w:val="nil"/>
              <w:right w:val="nil"/>
            </w:tcBorders>
          </w:tcPr>
          <w:p w14:paraId="02602A74"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w:t>
            </w:r>
          </w:p>
        </w:tc>
      </w:tr>
      <w:tr w:rsidR="005923C0" w14:paraId="570CC554" w14:textId="77777777" w:rsidTr="006E17B8">
        <w:trPr>
          <w:jc w:val="center"/>
        </w:trPr>
        <w:tc>
          <w:tcPr>
            <w:tcW w:w="3545" w:type="dxa"/>
            <w:tcBorders>
              <w:top w:val="nil"/>
              <w:left w:val="nil"/>
              <w:bottom w:val="nil"/>
              <w:right w:val="nil"/>
            </w:tcBorders>
          </w:tcPr>
          <w:p w14:paraId="1FEC6BFA" w14:textId="77777777" w:rsidR="005923C0" w:rsidRDefault="005923C0" w:rsidP="006E17B8">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4BF72B03"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(-0.75)</w:t>
            </w:r>
          </w:p>
        </w:tc>
        <w:tc>
          <w:tcPr>
            <w:tcW w:w="1584" w:type="dxa"/>
            <w:tcBorders>
              <w:top w:val="nil"/>
              <w:left w:val="nil"/>
              <w:bottom w:val="nil"/>
              <w:right w:val="nil"/>
            </w:tcBorders>
          </w:tcPr>
          <w:p w14:paraId="643A0015"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(0.43)</w:t>
            </w:r>
          </w:p>
        </w:tc>
        <w:tc>
          <w:tcPr>
            <w:tcW w:w="1676" w:type="dxa"/>
            <w:tcBorders>
              <w:top w:val="nil"/>
              <w:left w:val="nil"/>
              <w:bottom w:val="nil"/>
              <w:right w:val="nil"/>
            </w:tcBorders>
          </w:tcPr>
          <w:p w14:paraId="20221859"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(0.09)</w:t>
            </w:r>
          </w:p>
        </w:tc>
      </w:tr>
      <w:tr w:rsidR="005923C0" w14:paraId="66FA8E1D" w14:textId="77777777" w:rsidTr="006E17B8">
        <w:trPr>
          <w:jc w:val="center"/>
        </w:trPr>
        <w:tc>
          <w:tcPr>
            <w:tcW w:w="3545" w:type="dxa"/>
            <w:tcBorders>
              <w:top w:val="nil"/>
              <w:left w:val="nil"/>
              <w:bottom w:val="nil"/>
              <w:right w:val="nil"/>
            </w:tcBorders>
          </w:tcPr>
          <w:p w14:paraId="1FFB0DCC" w14:textId="77777777" w:rsidR="005923C0" w:rsidRDefault="005923C0" w:rsidP="006E17B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GROWTH</w:t>
            </w:r>
          </w:p>
        </w:tc>
        <w:tc>
          <w:tcPr>
            <w:tcW w:w="2268" w:type="dxa"/>
            <w:tcBorders>
              <w:top w:val="nil"/>
              <w:left w:val="nil"/>
              <w:bottom w:val="nil"/>
              <w:right w:val="nil"/>
            </w:tcBorders>
          </w:tcPr>
          <w:p w14:paraId="7D4CFC42"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0.531*</w:t>
            </w:r>
          </w:p>
        </w:tc>
        <w:tc>
          <w:tcPr>
            <w:tcW w:w="1584" w:type="dxa"/>
            <w:tcBorders>
              <w:top w:val="nil"/>
              <w:left w:val="nil"/>
              <w:bottom w:val="nil"/>
              <w:right w:val="nil"/>
            </w:tcBorders>
          </w:tcPr>
          <w:p w14:paraId="0D76762D"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0.058*</w:t>
            </w:r>
          </w:p>
        </w:tc>
        <w:tc>
          <w:tcPr>
            <w:tcW w:w="1676" w:type="dxa"/>
            <w:tcBorders>
              <w:top w:val="nil"/>
              <w:left w:val="nil"/>
              <w:bottom w:val="nil"/>
              <w:right w:val="nil"/>
            </w:tcBorders>
          </w:tcPr>
          <w:p w14:paraId="14A05C1D"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0.044</w:t>
            </w:r>
          </w:p>
        </w:tc>
      </w:tr>
      <w:tr w:rsidR="005923C0" w14:paraId="66405D2E" w14:textId="77777777" w:rsidTr="006E17B8">
        <w:trPr>
          <w:jc w:val="center"/>
        </w:trPr>
        <w:tc>
          <w:tcPr>
            <w:tcW w:w="3545" w:type="dxa"/>
            <w:tcBorders>
              <w:top w:val="nil"/>
              <w:left w:val="nil"/>
              <w:bottom w:val="nil"/>
              <w:right w:val="nil"/>
            </w:tcBorders>
          </w:tcPr>
          <w:p w14:paraId="352AD69D" w14:textId="77777777" w:rsidR="005923C0" w:rsidRDefault="005923C0" w:rsidP="006E17B8">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477803FA"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(1.74)</w:t>
            </w:r>
          </w:p>
        </w:tc>
        <w:tc>
          <w:tcPr>
            <w:tcW w:w="1584" w:type="dxa"/>
            <w:tcBorders>
              <w:top w:val="nil"/>
              <w:left w:val="nil"/>
              <w:bottom w:val="nil"/>
              <w:right w:val="nil"/>
            </w:tcBorders>
          </w:tcPr>
          <w:p w14:paraId="623D5779"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(1.95)</w:t>
            </w:r>
          </w:p>
        </w:tc>
        <w:tc>
          <w:tcPr>
            <w:tcW w:w="1676" w:type="dxa"/>
            <w:tcBorders>
              <w:top w:val="nil"/>
              <w:left w:val="nil"/>
              <w:bottom w:val="nil"/>
              <w:right w:val="nil"/>
            </w:tcBorders>
          </w:tcPr>
          <w:p w14:paraId="6651AC00"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(1.01)</w:t>
            </w:r>
          </w:p>
        </w:tc>
      </w:tr>
      <w:tr w:rsidR="005923C0" w14:paraId="6C3CEDE0" w14:textId="77777777" w:rsidTr="006E17B8">
        <w:trPr>
          <w:jc w:val="center"/>
        </w:trPr>
        <w:tc>
          <w:tcPr>
            <w:tcW w:w="3545" w:type="dxa"/>
            <w:tcBorders>
              <w:top w:val="nil"/>
              <w:left w:val="nil"/>
              <w:bottom w:val="nil"/>
              <w:right w:val="nil"/>
            </w:tcBorders>
          </w:tcPr>
          <w:p w14:paraId="4E439E1A" w14:textId="77777777" w:rsidR="005923C0" w:rsidRDefault="005923C0" w:rsidP="006E17B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LEVERAGE</w:t>
            </w:r>
          </w:p>
        </w:tc>
        <w:tc>
          <w:tcPr>
            <w:tcW w:w="2268" w:type="dxa"/>
            <w:tcBorders>
              <w:top w:val="nil"/>
              <w:left w:val="nil"/>
              <w:bottom w:val="nil"/>
              <w:right w:val="nil"/>
            </w:tcBorders>
          </w:tcPr>
          <w:p w14:paraId="131536F8"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-1.942*</w:t>
            </w:r>
          </w:p>
        </w:tc>
        <w:tc>
          <w:tcPr>
            <w:tcW w:w="1584" w:type="dxa"/>
            <w:tcBorders>
              <w:top w:val="nil"/>
              <w:left w:val="nil"/>
              <w:bottom w:val="nil"/>
              <w:right w:val="nil"/>
            </w:tcBorders>
          </w:tcPr>
          <w:p w14:paraId="2FEA94AC"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-0.220**</w:t>
            </w:r>
          </w:p>
        </w:tc>
        <w:tc>
          <w:tcPr>
            <w:tcW w:w="1676" w:type="dxa"/>
            <w:tcBorders>
              <w:top w:val="nil"/>
              <w:left w:val="nil"/>
              <w:bottom w:val="nil"/>
              <w:right w:val="nil"/>
            </w:tcBorders>
          </w:tcPr>
          <w:p w14:paraId="55565663"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-0.112</w:t>
            </w:r>
          </w:p>
        </w:tc>
      </w:tr>
      <w:tr w:rsidR="005923C0" w14:paraId="7A6461B6" w14:textId="77777777" w:rsidTr="006E17B8">
        <w:trPr>
          <w:jc w:val="center"/>
        </w:trPr>
        <w:tc>
          <w:tcPr>
            <w:tcW w:w="3545" w:type="dxa"/>
            <w:tcBorders>
              <w:top w:val="nil"/>
              <w:left w:val="nil"/>
              <w:bottom w:val="nil"/>
              <w:right w:val="nil"/>
            </w:tcBorders>
          </w:tcPr>
          <w:p w14:paraId="787EA960" w14:textId="77777777" w:rsidR="005923C0" w:rsidRDefault="005923C0" w:rsidP="006E17B8">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2E34C395"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(-1.71)</w:t>
            </w:r>
          </w:p>
        </w:tc>
        <w:tc>
          <w:tcPr>
            <w:tcW w:w="1584" w:type="dxa"/>
            <w:tcBorders>
              <w:top w:val="nil"/>
              <w:left w:val="nil"/>
              <w:bottom w:val="nil"/>
              <w:right w:val="nil"/>
            </w:tcBorders>
          </w:tcPr>
          <w:p w14:paraId="394000C6"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(-2.14)</w:t>
            </w:r>
          </w:p>
        </w:tc>
        <w:tc>
          <w:tcPr>
            <w:tcW w:w="1676" w:type="dxa"/>
            <w:tcBorders>
              <w:top w:val="nil"/>
              <w:left w:val="nil"/>
              <w:bottom w:val="nil"/>
              <w:right w:val="nil"/>
            </w:tcBorders>
          </w:tcPr>
          <w:p w14:paraId="676A7701"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(-0.73)</w:t>
            </w:r>
          </w:p>
        </w:tc>
      </w:tr>
      <w:tr w:rsidR="005923C0" w14:paraId="0491B3F3" w14:textId="77777777" w:rsidTr="006E17B8">
        <w:trPr>
          <w:jc w:val="center"/>
        </w:trPr>
        <w:tc>
          <w:tcPr>
            <w:tcW w:w="3545" w:type="dxa"/>
            <w:tcBorders>
              <w:top w:val="nil"/>
              <w:left w:val="nil"/>
              <w:bottom w:val="nil"/>
              <w:right w:val="nil"/>
            </w:tcBorders>
          </w:tcPr>
          <w:p w14:paraId="78058916" w14:textId="77777777" w:rsidR="005923C0" w:rsidRDefault="005923C0" w:rsidP="006E17B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CFO</w:t>
            </w:r>
          </w:p>
        </w:tc>
        <w:tc>
          <w:tcPr>
            <w:tcW w:w="2268" w:type="dxa"/>
            <w:tcBorders>
              <w:top w:val="nil"/>
              <w:left w:val="nil"/>
              <w:bottom w:val="nil"/>
              <w:right w:val="nil"/>
            </w:tcBorders>
          </w:tcPr>
          <w:p w14:paraId="07690882"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-0.109</w:t>
            </w:r>
          </w:p>
        </w:tc>
        <w:tc>
          <w:tcPr>
            <w:tcW w:w="1584" w:type="dxa"/>
            <w:tcBorders>
              <w:top w:val="nil"/>
              <w:left w:val="nil"/>
              <w:bottom w:val="nil"/>
              <w:right w:val="nil"/>
            </w:tcBorders>
          </w:tcPr>
          <w:p w14:paraId="63780BE9"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0.153</w:t>
            </w:r>
          </w:p>
        </w:tc>
        <w:tc>
          <w:tcPr>
            <w:tcW w:w="1676" w:type="dxa"/>
            <w:tcBorders>
              <w:top w:val="nil"/>
              <w:left w:val="nil"/>
              <w:bottom w:val="nil"/>
              <w:right w:val="nil"/>
            </w:tcBorders>
          </w:tcPr>
          <w:p w14:paraId="0F6DDBB0"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0.071</w:t>
            </w:r>
          </w:p>
        </w:tc>
      </w:tr>
      <w:tr w:rsidR="005923C0" w14:paraId="070010FD" w14:textId="77777777" w:rsidTr="006E17B8">
        <w:trPr>
          <w:jc w:val="center"/>
        </w:trPr>
        <w:tc>
          <w:tcPr>
            <w:tcW w:w="3545" w:type="dxa"/>
            <w:tcBorders>
              <w:top w:val="nil"/>
              <w:left w:val="nil"/>
              <w:bottom w:val="nil"/>
              <w:right w:val="nil"/>
            </w:tcBorders>
          </w:tcPr>
          <w:p w14:paraId="64B12FEA" w14:textId="77777777" w:rsidR="005923C0" w:rsidRDefault="005923C0" w:rsidP="006E17B8">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7C881E83"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(-0.11)</w:t>
            </w:r>
          </w:p>
        </w:tc>
        <w:tc>
          <w:tcPr>
            <w:tcW w:w="1584" w:type="dxa"/>
            <w:tcBorders>
              <w:top w:val="nil"/>
              <w:left w:val="nil"/>
              <w:bottom w:val="nil"/>
              <w:right w:val="nil"/>
            </w:tcBorders>
          </w:tcPr>
          <w:p w14:paraId="0D07871F"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(1.27)</w:t>
            </w:r>
          </w:p>
        </w:tc>
        <w:tc>
          <w:tcPr>
            <w:tcW w:w="1676" w:type="dxa"/>
            <w:tcBorders>
              <w:top w:val="nil"/>
              <w:left w:val="nil"/>
              <w:bottom w:val="nil"/>
              <w:right w:val="nil"/>
            </w:tcBorders>
          </w:tcPr>
          <w:p w14:paraId="74D769BB"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(0.45)</w:t>
            </w:r>
          </w:p>
        </w:tc>
      </w:tr>
      <w:tr w:rsidR="005923C0" w14:paraId="06D6F0AC" w14:textId="77777777" w:rsidTr="006E17B8">
        <w:trPr>
          <w:jc w:val="center"/>
        </w:trPr>
        <w:tc>
          <w:tcPr>
            <w:tcW w:w="3545" w:type="dxa"/>
            <w:tcBorders>
              <w:top w:val="nil"/>
              <w:left w:val="nil"/>
              <w:bottom w:val="nil"/>
              <w:right w:val="nil"/>
            </w:tcBorders>
          </w:tcPr>
          <w:p w14:paraId="28987CAC" w14:textId="77777777" w:rsidR="005923C0" w:rsidRDefault="005923C0" w:rsidP="006E17B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CASHEQ</w:t>
            </w:r>
          </w:p>
        </w:tc>
        <w:tc>
          <w:tcPr>
            <w:tcW w:w="2268" w:type="dxa"/>
            <w:tcBorders>
              <w:top w:val="nil"/>
              <w:left w:val="nil"/>
              <w:bottom w:val="nil"/>
              <w:right w:val="nil"/>
            </w:tcBorders>
          </w:tcPr>
          <w:p w14:paraId="7CF3A640"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-1.607</w:t>
            </w:r>
          </w:p>
        </w:tc>
        <w:tc>
          <w:tcPr>
            <w:tcW w:w="1584" w:type="dxa"/>
            <w:tcBorders>
              <w:top w:val="nil"/>
              <w:left w:val="nil"/>
              <w:bottom w:val="nil"/>
              <w:right w:val="nil"/>
            </w:tcBorders>
          </w:tcPr>
          <w:p w14:paraId="2A3DE84D"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-0.047</w:t>
            </w:r>
          </w:p>
        </w:tc>
        <w:tc>
          <w:tcPr>
            <w:tcW w:w="1676" w:type="dxa"/>
            <w:tcBorders>
              <w:top w:val="nil"/>
              <w:left w:val="nil"/>
              <w:bottom w:val="nil"/>
              <w:right w:val="nil"/>
            </w:tcBorders>
          </w:tcPr>
          <w:p w14:paraId="24059FFA"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0.009</w:t>
            </w:r>
          </w:p>
        </w:tc>
      </w:tr>
      <w:tr w:rsidR="005923C0" w14:paraId="34C80AF0" w14:textId="77777777" w:rsidTr="006E17B8">
        <w:trPr>
          <w:jc w:val="center"/>
        </w:trPr>
        <w:tc>
          <w:tcPr>
            <w:tcW w:w="3545" w:type="dxa"/>
            <w:tcBorders>
              <w:top w:val="nil"/>
              <w:left w:val="nil"/>
              <w:bottom w:val="nil"/>
              <w:right w:val="nil"/>
            </w:tcBorders>
          </w:tcPr>
          <w:p w14:paraId="7EDBA875" w14:textId="77777777" w:rsidR="005923C0" w:rsidRDefault="005923C0" w:rsidP="006E17B8">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4BDA96A0"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(-1.37)</w:t>
            </w:r>
          </w:p>
        </w:tc>
        <w:tc>
          <w:tcPr>
            <w:tcW w:w="1584" w:type="dxa"/>
            <w:tcBorders>
              <w:top w:val="nil"/>
              <w:left w:val="nil"/>
              <w:bottom w:val="nil"/>
              <w:right w:val="nil"/>
            </w:tcBorders>
          </w:tcPr>
          <w:p w14:paraId="1BD1575D"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(-0.55)</w:t>
            </w:r>
          </w:p>
        </w:tc>
        <w:tc>
          <w:tcPr>
            <w:tcW w:w="1676" w:type="dxa"/>
            <w:tcBorders>
              <w:top w:val="nil"/>
              <w:left w:val="nil"/>
              <w:bottom w:val="nil"/>
              <w:right w:val="nil"/>
            </w:tcBorders>
          </w:tcPr>
          <w:p w14:paraId="49113917"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(0.09)</w:t>
            </w:r>
          </w:p>
        </w:tc>
      </w:tr>
      <w:tr w:rsidR="005923C0" w14:paraId="4F962C05" w14:textId="77777777" w:rsidTr="006E17B8">
        <w:trPr>
          <w:jc w:val="center"/>
        </w:trPr>
        <w:tc>
          <w:tcPr>
            <w:tcW w:w="3545" w:type="dxa"/>
            <w:tcBorders>
              <w:top w:val="nil"/>
              <w:left w:val="nil"/>
              <w:bottom w:val="nil"/>
              <w:right w:val="nil"/>
            </w:tcBorders>
          </w:tcPr>
          <w:p w14:paraId="79585C05" w14:textId="77777777" w:rsidR="005923C0" w:rsidRDefault="005923C0" w:rsidP="006E17B8">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4DCF2CEB"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p>
        </w:tc>
        <w:tc>
          <w:tcPr>
            <w:tcW w:w="1584" w:type="dxa"/>
            <w:tcBorders>
              <w:top w:val="nil"/>
              <w:left w:val="nil"/>
              <w:bottom w:val="nil"/>
              <w:right w:val="nil"/>
            </w:tcBorders>
          </w:tcPr>
          <w:p w14:paraId="1FFB0C03"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p>
        </w:tc>
        <w:tc>
          <w:tcPr>
            <w:tcW w:w="1676" w:type="dxa"/>
            <w:tcBorders>
              <w:top w:val="nil"/>
              <w:left w:val="nil"/>
              <w:bottom w:val="nil"/>
              <w:right w:val="nil"/>
            </w:tcBorders>
          </w:tcPr>
          <w:p w14:paraId="7D08A45B"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p>
        </w:tc>
      </w:tr>
      <w:tr w:rsidR="005923C0" w14:paraId="0941F597" w14:textId="77777777" w:rsidTr="006E17B8">
        <w:trPr>
          <w:jc w:val="center"/>
        </w:trPr>
        <w:tc>
          <w:tcPr>
            <w:tcW w:w="3545" w:type="dxa"/>
            <w:tcBorders>
              <w:top w:val="nil"/>
              <w:left w:val="nil"/>
              <w:bottom w:val="nil"/>
              <w:right w:val="nil"/>
            </w:tcBorders>
          </w:tcPr>
          <w:p w14:paraId="4F23AA7C" w14:textId="77777777" w:rsidR="005923C0" w:rsidRDefault="005923C0" w:rsidP="006E17B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Observations</w:t>
            </w:r>
          </w:p>
        </w:tc>
        <w:tc>
          <w:tcPr>
            <w:tcW w:w="2268" w:type="dxa"/>
            <w:tcBorders>
              <w:top w:val="nil"/>
              <w:left w:val="nil"/>
              <w:bottom w:val="nil"/>
              <w:right w:val="nil"/>
            </w:tcBorders>
          </w:tcPr>
          <w:p w14:paraId="26503BC1" w14:textId="77777777" w:rsidR="005923C0" w:rsidRPr="000D22DC"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sidRPr="00C22FF8">
              <w:rPr>
                <w:rFonts w:ascii="Times New Roman" w:hAnsi="Times New Roman" w:cs="Times New Roman"/>
                <w:sz w:val="24"/>
                <w:szCs w:val="24"/>
              </w:rPr>
              <w:t>528</w:t>
            </w:r>
          </w:p>
        </w:tc>
        <w:tc>
          <w:tcPr>
            <w:tcW w:w="1584" w:type="dxa"/>
            <w:tcBorders>
              <w:top w:val="nil"/>
              <w:left w:val="nil"/>
              <w:bottom w:val="nil"/>
              <w:right w:val="nil"/>
            </w:tcBorders>
          </w:tcPr>
          <w:p w14:paraId="6F111362" w14:textId="77777777" w:rsidR="005923C0" w:rsidRPr="000D22DC"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sidRPr="000D22DC">
              <w:rPr>
                <w:rFonts w:ascii="Times New Roman" w:hAnsi="Times New Roman" w:cs="Times New Roman"/>
                <w:sz w:val="24"/>
                <w:szCs w:val="24"/>
              </w:rPr>
              <w:t>5</w:t>
            </w:r>
            <w:r w:rsidRPr="00C22FF8">
              <w:rPr>
                <w:rFonts w:ascii="Times New Roman" w:hAnsi="Times New Roman" w:cs="Times New Roman"/>
                <w:sz w:val="24"/>
                <w:szCs w:val="24"/>
              </w:rPr>
              <w:t>28</w:t>
            </w:r>
          </w:p>
        </w:tc>
        <w:tc>
          <w:tcPr>
            <w:tcW w:w="1676" w:type="dxa"/>
            <w:tcBorders>
              <w:top w:val="nil"/>
              <w:left w:val="nil"/>
              <w:bottom w:val="nil"/>
              <w:right w:val="nil"/>
            </w:tcBorders>
          </w:tcPr>
          <w:p w14:paraId="7D21803F" w14:textId="77777777" w:rsidR="005923C0" w:rsidRPr="00C22FF8"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sidRPr="00C22FF8">
              <w:rPr>
                <w:rFonts w:ascii="Times New Roman" w:hAnsi="Times New Roman" w:cs="Times New Roman"/>
                <w:sz w:val="24"/>
                <w:szCs w:val="24"/>
              </w:rPr>
              <w:t>520</w:t>
            </w:r>
          </w:p>
        </w:tc>
      </w:tr>
      <w:tr w:rsidR="005923C0" w14:paraId="0FB270ED" w14:textId="77777777" w:rsidTr="006E17B8">
        <w:trPr>
          <w:jc w:val="center"/>
        </w:trPr>
        <w:tc>
          <w:tcPr>
            <w:tcW w:w="3545" w:type="dxa"/>
            <w:tcBorders>
              <w:top w:val="nil"/>
              <w:left w:val="nil"/>
              <w:bottom w:val="nil"/>
              <w:right w:val="nil"/>
            </w:tcBorders>
            <w:vAlign w:val="center"/>
          </w:tcPr>
          <w:p w14:paraId="42774958" w14:textId="77777777" w:rsidR="005923C0" w:rsidRDefault="005923C0" w:rsidP="006E17B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olor w:val="000000"/>
                <w:sz w:val="24"/>
                <w:szCs w:val="24"/>
              </w:rPr>
              <w:t>Firm FE</w:t>
            </w:r>
          </w:p>
        </w:tc>
        <w:tc>
          <w:tcPr>
            <w:tcW w:w="2268" w:type="dxa"/>
            <w:tcBorders>
              <w:top w:val="nil"/>
              <w:left w:val="nil"/>
              <w:bottom w:val="nil"/>
              <w:right w:val="nil"/>
            </w:tcBorders>
          </w:tcPr>
          <w:p w14:paraId="7545843D"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Included</w:t>
            </w:r>
          </w:p>
        </w:tc>
        <w:tc>
          <w:tcPr>
            <w:tcW w:w="1584" w:type="dxa"/>
            <w:tcBorders>
              <w:top w:val="nil"/>
              <w:left w:val="nil"/>
              <w:bottom w:val="nil"/>
              <w:right w:val="nil"/>
            </w:tcBorders>
          </w:tcPr>
          <w:p w14:paraId="06EF1F1C" w14:textId="12183F3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Inc</w:t>
            </w:r>
            <w:r w:rsidR="00DE384E">
              <w:rPr>
                <w:rFonts w:ascii="Times New Roman" w:hAnsi="Times New Roman" w:cs="Times New Roman"/>
                <w:sz w:val="24"/>
                <w:szCs w:val="24"/>
              </w:rPr>
              <w:t>l</w:t>
            </w:r>
            <w:r>
              <w:rPr>
                <w:rFonts w:ascii="Times New Roman" w:hAnsi="Times New Roman" w:cs="Times New Roman"/>
                <w:sz w:val="24"/>
                <w:szCs w:val="24"/>
              </w:rPr>
              <w:t>uded</w:t>
            </w:r>
          </w:p>
        </w:tc>
        <w:tc>
          <w:tcPr>
            <w:tcW w:w="1676" w:type="dxa"/>
            <w:tcBorders>
              <w:top w:val="nil"/>
              <w:left w:val="nil"/>
              <w:bottom w:val="nil"/>
              <w:right w:val="nil"/>
            </w:tcBorders>
          </w:tcPr>
          <w:p w14:paraId="1E892DE5"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Included</w:t>
            </w:r>
          </w:p>
        </w:tc>
      </w:tr>
      <w:tr w:rsidR="005923C0" w14:paraId="26296B45" w14:textId="77777777" w:rsidTr="006E17B8">
        <w:trPr>
          <w:jc w:val="center"/>
        </w:trPr>
        <w:tc>
          <w:tcPr>
            <w:tcW w:w="3545" w:type="dxa"/>
            <w:tcBorders>
              <w:top w:val="nil"/>
              <w:left w:val="nil"/>
              <w:bottom w:val="nil"/>
              <w:right w:val="nil"/>
            </w:tcBorders>
            <w:vAlign w:val="center"/>
          </w:tcPr>
          <w:p w14:paraId="4BA2F98E" w14:textId="77777777" w:rsidR="005923C0" w:rsidRDefault="005923C0" w:rsidP="006E17B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olor w:val="000000"/>
                <w:sz w:val="24"/>
                <w:szCs w:val="24"/>
              </w:rPr>
              <w:t>Year FE</w:t>
            </w:r>
          </w:p>
        </w:tc>
        <w:tc>
          <w:tcPr>
            <w:tcW w:w="2268" w:type="dxa"/>
            <w:tcBorders>
              <w:top w:val="nil"/>
              <w:left w:val="nil"/>
              <w:bottom w:val="nil"/>
              <w:right w:val="nil"/>
            </w:tcBorders>
          </w:tcPr>
          <w:p w14:paraId="464CA509"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Included</w:t>
            </w:r>
          </w:p>
        </w:tc>
        <w:tc>
          <w:tcPr>
            <w:tcW w:w="1584" w:type="dxa"/>
            <w:tcBorders>
              <w:top w:val="nil"/>
              <w:left w:val="nil"/>
              <w:bottom w:val="nil"/>
              <w:right w:val="nil"/>
            </w:tcBorders>
          </w:tcPr>
          <w:p w14:paraId="05642C0E"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Included</w:t>
            </w:r>
          </w:p>
        </w:tc>
        <w:tc>
          <w:tcPr>
            <w:tcW w:w="1676" w:type="dxa"/>
            <w:tcBorders>
              <w:top w:val="nil"/>
              <w:left w:val="nil"/>
              <w:bottom w:val="nil"/>
              <w:right w:val="nil"/>
            </w:tcBorders>
          </w:tcPr>
          <w:p w14:paraId="6EFACA22"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Included</w:t>
            </w:r>
          </w:p>
        </w:tc>
      </w:tr>
      <w:tr w:rsidR="005923C0" w14:paraId="576A38EB" w14:textId="77777777" w:rsidTr="006E17B8">
        <w:tblPrEx>
          <w:tblBorders>
            <w:bottom w:val="single" w:sz="6" w:space="0" w:color="auto"/>
          </w:tblBorders>
        </w:tblPrEx>
        <w:trPr>
          <w:jc w:val="center"/>
        </w:trPr>
        <w:tc>
          <w:tcPr>
            <w:tcW w:w="3545" w:type="dxa"/>
            <w:tcBorders>
              <w:top w:val="nil"/>
              <w:left w:val="nil"/>
              <w:bottom w:val="single" w:sz="6" w:space="0" w:color="auto"/>
              <w:right w:val="nil"/>
            </w:tcBorders>
          </w:tcPr>
          <w:p w14:paraId="1E0505B8" w14:textId="77777777" w:rsidR="005923C0" w:rsidRDefault="005923C0" w:rsidP="006E17B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Adj. R-squared</w:t>
            </w:r>
          </w:p>
        </w:tc>
        <w:tc>
          <w:tcPr>
            <w:tcW w:w="2268" w:type="dxa"/>
            <w:tcBorders>
              <w:top w:val="nil"/>
              <w:left w:val="nil"/>
              <w:bottom w:val="single" w:sz="6" w:space="0" w:color="auto"/>
              <w:right w:val="nil"/>
            </w:tcBorders>
          </w:tcPr>
          <w:p w14:paraId="41B91A8B"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0.106</w:t>
            </w:r>
          </w:p>
        </w:tc>
        <w:tc>
          <w:tcPr>
            <w:tcW w:w="1584" w:type="dxa"/>
            <w:tcBorders>
              <w:top w:val="nil"/>
              <w:left w:val="nil"/>
              <w:bottom w:val="single" w:sz="6" w:space="0" w:color="auto"/>
              <w:right w:val="nil"/>
            </w:tcBorders>
          </w:tcPr>
          <w:p w14:paraId="753C10E6"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0.165</w:t>
            </w:r>
          </w:p>
        </w:tc>
        <w:tc>
          <w:tcPr>
            <w:tcW w:w="1676" w:type="dxa"/>
            <w:tcBorders>
              <w:top w:val="nil"/>
              <w:left w:val="nil"/>
              <w:bottom w:val="single" w:sz="6" w:space="0" w:color="auto"/>
              <w:right w:val="nil"/>
            </w:tcBorders>
          </w:tcPr>
          <w:p w14:paraId="1C612F8F" w14:textId="77777777" w:rsidR="005923C0" w:rsidRDefault="005923C0" w:rsidP="006E17B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0.154</w:t>
            </w:r>
          </w:p>
        </w:tc>
      </w:tr>
    </w:tbl>
    <w:p w14:paraId="2276A298" w14:textId="77777777" w:rsidR="005923C0" w:rsidRDefault="005923C0" w:rsidP="00AE251F">
      <w:pPr>
        <w:spacing w:line="240" w:lineRule="auto"/>
        <w:contextualSpacing/>
        <w:rPr>
          <w:rFonts w:ascii="Times New Roman" w:hAnsi="Times New Roman" w:cs="Times New Roman"/>
          <w:b/>
          <w:sz w:val="24"/>
          <w:szCs w:val="24"/>
        </w:rPr>
      </w:pPr>
    </w:p>
    <w:p w14:paraId="040771B5" w14:textId="77777777" w:rsidR="005923C0" w:rsidRDefault="005923C0" w:rsidP="00AE251F">
      <w:pPr>
        <w:spacing w:line="240" w:lineRule="auto"/>
        <w:contextualSpacing/>
        <w:rPr>
          <w:rFonts w:ascii="Times New Roman" w:hAnsi="Times New Roman" w:cs="Times New Roman"/>
          <w:b/>
          <w:sz w:val="24"/>
          <w:szCs w:val="24"/>
        </w:rPr>
      </w:pPr>
    </w:p>
    <w:p w14:paraId="5BBFA603" w14:textId="77777777" w:rsidR="005923C0" w:rsidRDefault="005923C0" w:rsidP="00AE251F">
      <w:pPr>
        <w:spacing w:line="240" w:lineRule="auto"/>
        <w:contextualSpacing/>
        <w:rPr>
          <w:rFonts w:ascii="Times New Roman" w:hAnsi="Times New Roman" w:cs="Times New Roman"/>
          <w:b/>
          <w:sz w:val="24"/>
          <w:szCs w:val="24"/>
        </w:rPr>
      </w:pPr>
    </w:p>
    <w:p w14:paraId="4623D509" w14:textId="77777777" w:rsidR="007C14B9" w:rsidRDefault="007C14B9" w:rsidP="00AE251F">
      <w:pPr>
        <w:spacing w:line="240" w:lineRule="auto"/>
        <w:contextualSpacing/>
        <w:jc w:val="center"/>
        <w:rPr>
          <w:rFonts w:ascii="Times New Roman" w:hAnsi="Times New Roman"/>
          <w:b/>
          <w:sz w:val="24"/>
          <w:szCs w:val="24"/>
        </w:rPr>
      </w:pPr>
    </w:p>
    <w:p w14:paraId="67B0A2A4" w14:textId="77777777" w:rsidR="007C14B9" w:rsidRDefault="007C14B9" w:rsidP="00AE251F">
      <w:pPr>
        <w:spacing w:line="240" w:lineRule="auto"/>
        <w:contextualSpacing/>
        <w:jc w:val="center"/>
        <w:rPr>
          <w:rFonts w:ascii="Times New Roman" w:hAnsi="Times New Roman"/>
          <w:b/>
          <w:sz w:val="24"/>
          <w:szCs w:val="24"/>
        </w:rPr>
      </w:pPr>
    </w:p>
    <w:p w14:paraId="7E5C6EC0" w14:textId="77777777" w:rsidR="007C14B9" w:rsidRDefault="007C14B9" w:rsidP="00AE251F">
      <w:pPr>
        <w:spacing w:line="240" w:lineRule="auto"/>
        <w:contextualSpacing/>
        <w:jc w:val="center"/>
        <w:rPr>
          <w:rFonts w:ascii="Times New Roman" w:hAnsi="Times New Roman"/>
          <w:b/>
          <w:sz w:val="24"/>
          <w:szCs w:val="24"/>
        </w:rPr>
      </w:pPr>
    </w:p>
    <w:p w14:paraId="315DBE58" w14:textId="77777777" w:rsidR="00480C6E" w:rsidRDefault="00480C6E" w:rsidP="00AE251F">
      <w:pPr>
        <w:spacing w:line="240" w:lineRule="auto"/>
        <w:contextualSpacing/>
        <w:jc w:val="center"/>
        <w:rPr>
          <w:rFonts w:ascii="Times New Roman" w:hAnsi="Times New Roman"/>
          <w:b/>
          <w:sz w:val="24"/>
          <w:szCs w:val="24"/>
        </w:rPr>
      </w:pPr>
    </w:p>
    <w:p w14:paraId="745BFAAD" w14:textId="77777777" w:rsidR="00480C6E" w:rsidRDefault="00480C6E" w:rsidP="00AE251F">
      <w:pPr>
        <w:spacing w:line="240" w:lineRule="auto"/>
        <w:contextualSpacing/>
        <w:jc w:val="center"/>
        <w:rPr>
          <w:rFonts w:ascii="Times New Roman" w:hAnsi="Times New Roman"/>
          <w:b/>
          <w:sz w:val="24"/>
          <w:szCs w:val="24"/>
        </w:rPr>
      </w:pPr>
    </w:p>
    <w:p w14:paraId="07ACAE58" w14:textId="77777777" w:rsidR="00480C6E" w:rsidRDefault="00480C6E" w:rsidP="00AE251F">
      <w:pPr>
        <w:spacing w:line="240" w:lineRule="auto"/>
        <w:contextualSpacing/>
        <w:jc w:val="center"/>
        <w:rPr>
          <w:rFonts w:ascii="Times New Roman" w:hAnsi="Times New Roman"/>
          <w:b/>
          <w:sz w:val="24"/>
          <w:szCs w:val="24"/>
        </w:rPr>
      </w:pPr>
    </w:p>
    <w:p w14:paraId="06A9243D" w14:textId="77777777" w:rsidR="00480C6E" w:rsidRDefault="00480C6E" w:rsidP="00AE251F">
      <w:pPr>
        <w:spacing w:line="240" w:lineRule="auto"/>
        <w:contextualSpacing/>
        <w:jc w:val="center"/>
        <w:rPr>
          <w:rFonts w:ascii="Times New Roman" w:hAnsi="Times New Roman"/>
          <w:b/>
          <w:sz w:val="24"/>
          <w:szCs w:val="24"/>
        </w:rPr>
      </w:pPr>
    </w:p>
    <w:p w14:paraId="31B0DCBB" w14:textId="77777777" w:rsidR="00AE251F" w:rsidRDefault="00AE251F" w:rsidP="00AE251F">
      <w:pPr>
        <w:spacing w:line="240" w:lineRule="auto"/>
        <w:contextualSpacing/>
        <w:jc w:val="center"/>
        <w:rPr>
          <w:rFonts w:ascii="Times New Roman" w:hAnsi="Times New Roman"/>
          <w:b/>
          <w:sz w:val="24"/>
          <w:szCs w:val="24"/>
        </w:rPr>
      </w:pPr>
      <w:r>
        <w:rPr>
          <w:rFonts w:ascii="Times New Roman" w:hAnsi="Times New Roman"/>
          <w:b/>
          <w:sz w:val="24"/>
          <w:szCs w:val="24"/>
        </w:rPr>
        <w:t>Table 6 - Continued</w:t>
      </w:r>
    </w:p>
    <w:p w14:paraId="6910D00B" w14:textId="77777777" w:rsidR="00AE251F" w:rsidRDefault="00AE251F" w:rsidP="00AE251F">
      <w:pPr>
        <w:pBdr>
          <w:bottom w:val="single" w:sz="12" w:space="1" w:color="auto"/>
        </w:pBdr>
        <w:spacing w:line="240" w:lineRule="auto"/>
        <w:contextualSpacing/>
        <w:jc w:val="center"/>
        <w:rPr>
          <w:rFonts w:ascii="Times New Roman" w:hAnsi="Times New Roman"/>
          <w:b/>
          <w:sz w:val="24"/>
          <w:szCs w:val="24"/>
        </w:rPr>
      </w:pPr>
      <w:r>
        <w:rPr>
          <w:rFonts w:ascii="Times New Roman" w:hAnsi="Times New Roman"/>
          <w:b/>
          <w:sz w:val="24"/>
          <w:szCs w:val="24"/>
        </w:rPr>
        <w:t>Primary Regression Results</w:t>
      </w:r>
      <w:r>
        <w:rPr>
          <w:rFonts w:ascii="Times New Roman" w:hAnsi="Times New Roman"/>
          <w:b/>
          <w:sz w:val="24"/>
          <w:szCs w:val="24"/>
          <w:vertAlign w:val="superscript"/>
        </w:rPr>
        <w:t>a</w:t>
      </w:r>
    </w:p>
    <w:p w14:paraId="450A153B" w14:textId="78A2EBAF" w:rsidR="00AE251F" w:rsidRDefault="00AE251F" w:rsidP="00C02101">
      <w:pPr>
        <w:tabs>
          <w:tab w:val="left" w:pos="720"/>
        </w:tabs>
        <w:spacing w:after="0" w:line="240" w:lineRule="auto"/>
        <w:jc w:val="both"/>
        <w:rPr>
          <w:rFonts w:ascii="Times New Roman" w:hAnsi="Times New Roman"/>
          <w:sz w:val="24"/>
          <w:szCs w:val="24"/>
        </w:rPr>
      </w:pPr>
      <w:r w:rsidRPr="0080751D">
        <w:rPr>
          <w:rFonts w:ascii="Times New Roman" w:hAnsi="Times New Roman"/>
          <w:b/>
          <w:vertAlign w:val="superscript"/>
        </w:rPr>
        <w:t>a</w:t>
      </w:r>
      <w:r w:rsidRPr="0080751D">
        <w:rPr>
          <w:rFonts w:ascii="Times New Roman" w:hAnsi="Times New Roman"/>
          <w:sz w:val="24"/>
          <w:szCs w:val="24"/>
        </w:rPr>
        <w:t xml:space="preserve">This table </w:t>
      </w:r>
      <w:r>
        <w:rPr>
          <w:rFonts w:ascii="Times New Roman" w:hAnsi="Times New Roman"/>
          <w:sz w:val="24"/>
          <w:szCs w:val="24"/>
        </w:rPr>
        <w:t>reports the coefficient</w:t>
      </w:r>
      <w:r w:rsidRPr="0080751D">
        <w:rPr>
          <w:rFonts w:ascii="Times New Roman" w:hAnsi="Times New Roman"/>
          <w:sz w:val="24"/>
          <w:szCs w:val="24"/>
        </w:rPr>
        <w:t xml:space="preserve"> estimates</w:t>
      </w:r>
      <w:r>
        <w:rPr>
          <w:rFonts w:ascii="Times New Roman" w:hAnsi="Times New Roman"/>
          <w:sz w:val="24"/>
          <w:szCs w:val="24"/>
        </w:rPr>
        <w:t xml:space="preserve"> and t-statistics</w:t>
      </w:r>
      <w:r w:rsidRPr="0080751D">
        <w:rPr>
          <w:rFonts w:ascii="Times New Roman" w:hAnsi="Times New Roman"/>
          <w:sz w:val="24"/>
          <w:szCs w:val="24"/>
        </w:rPr>
        <w:t xml:space="preserve"> from the follo</w:t>
      </w:r>
      <w:r>
        <w:rPr>
          <w:rFonts w:ascii="Times New Roman" w:hAnsi="Times New Roman"/>
          <w:sz w:val="24"/>
          <w:szCs w:val="24"/>
        </w:rPr>
        <w:t xml:space="preserve">wing regression: </w:t>
      </w:r>
      <w:r w:rsidR="006E17B8" w:rsidRPr="00C11785">
        <w:rPr>
          <w:rFonts w:ascii="Times New Roman" w:hAnsi="Times New Roman" w:cs="Times New Roman"/>
          <w:sz w:val="24"/>
          <w:szCs w:val="24"/>
        </w:rPr>
        <w:t>R&amp;D</w:t>
      </w:r>
      <w:r w:rsidR="006E17B8">
        <w:rPr>
          <w:rFonts w:ascii="Times New Roman" w:hAnsi="Times New Roman" w:cs="Times New Roman"/>
          <w:sz w:val="24"/>
          <w:szCs w:val="24"/>
        </w:rPr>
        <w:t xml:space="preserve"> Growth = </w:t>
      </w:r>
      <w:r w:rsidR="00F327C9">
        <w:rPr>
          <w:rFonts w:ascii="Symbol" w:hAnsi="Symbol" w:cs="Times New Roman"/>
          <w:sz w:val="24"/>
          <w:szCs w:val="24"/>
        </w:rPr>
        <w:t></w:t>
      </w:r>
      <w:r w:rsidR="006E17B8" w:rsidRPr="00DF2E72">
        <w:rPr>
          <w:rFonts w:ascii="Times New Roman" w:hAnsi="Times New Roman" w:cs="Times New Roman"/>
          <w:sz w:val="24"/>
          <w:szCs w:val="24"/>
          <w:vertAlign w:val="subscript"/>
        </w:rPr>
        <w:t xml:space="preserve">0 </w:t>
      </w:r>
      <w:r w:rsidR="006E17B8">
        <w:rPr>
          <w:rFonts w:ascii="Times New Roman" w:hAnsi="Times New Roman" w:cs="Times New Roman"/>
          <w:sz w:val="24"/>
          <w:szCs w:val="24"/>
        </w:rPr>
        <w:t>+ ∑</w:t>
      </w:r>
      <w:r w:rsidR="006E17B8" w:rsidRPr="0012154E">
        <w:rPr>
          <w:rFonts w:ascii="Times New Roman" w:hAnsi="Times New Roman" w:cs="Times New Roman"/>
          <w:sz w:val="24"/>
          <w:szCs w:val="24"/>
          <w:vertAlign w:val="subscript"/>
        </w:rPr>
        <w:t xml:space="preserve">t </w:t>
      </w:r>
      <w:r w:rsidR="006E17B8">
        <w:rPr>
          <w:rFonts w:ascii="Symbol" w:hAnsi="Symbol" w:cs="Times New Roman"/>
          <w:sz w:val="24"/>
          <w:szCs w:val="24"/>
        </w:rPr>
        <w:t></w:t>
      </w:r>
      <w:r w:rsidR="006E17B8" w:rsidRPr="0012154E">
        <w:rPr>
          <w:rFonts w:ascii="Times New Roman" w:hAnsi="Times New Roman" w:cs="Times New Roman"/>
          <w:sz w:val="24"/>
          <w:szCs w:val="24"/>
          <w:vertAlign w:val="subscript"/>
        </w:rPr>
        <w:t>t</w:t>
      </w:r>
      <w:r w:rsidR="006E17B8">
        <w:rPr>
          <w:rFonts w:ascii="Times New Roman" w:hAnsi="Times New Roman" w:cs="Times New Roman"/>
          <w:sz w:val="24"/>
          <w:szCs w:val="24"/>
        </w:rPr>
        <w:t>SWITCH*IFRS</w:t>
      </w:r>
      <w:r w:rsidR="006E17B8" w:rsidRPr="0012154E">
        <w:rPr>
          <w:rFonts w:ascii="Times New Roman" w:hAnsi="Times New Roman" w:cs="Times New Roman"/>
          <w:sz w:val="24"/>
          <w:szCs w:val="24"/>
          <w:vertAlign w:val="subscript"/>
        </w:rPr>
        <w:t xml:space="preserve">t </w:t>
      </w:r>
      <w:r w:rsidR="006E17B8">
        <w:rPr>
          <w:rFonts w:ascii="Times New Roman" w:hAnsi="Times New Roman" w:cs="Times New Roman"/>
          <w:sz w:val="24"/>
          <w:szCs w:val="24"/>
        </w:rPr>
        <w:t>+ ∑</w:t>
      </w:r>
      <w:r w:rsidR="006E17B8" w:rsidRPr="0012154E">
        <w:rPr>
          <w:rFonts w:ascii="Times New Roman" w:hAnsi="Times New Roman" w:cs="Times New Roman"/>
          <w:sz w:val="24"/>
          <w:szCs w:val="24"/>
          <w:vertAlign w:val="subscript"/>
        </w:rPr>
        <w:t>i</w:t>
      </w:r>
      <w:r w:rsidR="006E17B8">
        <w:rPr>
          <w:rFonts w:ascii="Symbol" w:hAnsi="Symbol" w:cs="Times New Roman"/>
          <w:sz w:val="24"/>
          <w:szCs w:val="24"/>
        </w:rPr>
        <w:sym w:font="Symbol" w:char="F046"/>
      </w:r>
      <w:r w:rsidR="006E17B8">
        <w:rPr>
          <w:rFonts w:ascii="Times New Roman" w:hAnsi="Times New Roman" w:cs="Times New Roman"/>
          <w:sz w:val="24"/>
          <w:szCs w:val="24"/>
          <w:vertAlign w:val="subscript"/>
        </w:rPr>
        <w:t>i</w:t>
      </w:r>
      <w:r w:rsidR="006E17B8">
        <w:rPr>
          <w:rFonts w:ascii="Times New Roman" w:hAnsi="Times New Roman" w:cs="Times New Roman"/>
          <w:sz w:val="24"/>
          <w:szCs w:val="24"/>
        </w:rPr>
        <w:t>Control</w:t>
      </w:r>
      <w:r w:rsidR="006E17B8" w:rsidRPr="0012154E">
        <w:rPr>
          <w:rFonts w:ascii="Times New Roman" w:hAnsi="Times New Roman" w:cs="Times New Roman"/>
          <w:sz w:val="24"/>
          <w:szCs w:val="24"/>
          <w:vertAlign w:val="subscript"/>
        </w:rPr>
        <w:t xml:space="preserve">i </w:t>
      </w:r>
      <w:r w:rsidR="00CE2272">
        <w:rPr>
          <w:rFonts w:ascii="Times New Roman" w:hAnsi="Times New Roman" w:cs="Times New Roman"/>
          <w:sz w:val="24"/>
          <w:szCs w:val="24"/>
        </w:rPr>
        <w:t>+</w:t>
      </w:r>
      <w:r w:rsidR="006E17B8">
        <w:rPr>
          <w:rFonts w:ascii="Times New Roman" w:hAnsi="Times New Roman" w:cs="Times New Roman"/>
          <w:sz w:val="24"/>
          <w:szCs w:val="24"/>
        </w:rPr>
        <w:t xml:space="preserve"> firm fixed effects + year fixed effects + </w:t>
      </w:r>
      <w:r w:rsidR="006E17B8" w:rsidRPr="00480C6E">
        <w:rPr>
          <w:rFonts w:ascii="Symbol" w:hAnsi="Symbol" w:cs="Times New Roman"/>
          <w:sz w:val="24"/>
          <w:szCs w:val="24"/>
        </w:rPr>
        <w:t></w:t>
      </w:r>
      <w:r w:rsidR="006E17B8">
        <w:rPr>
          <w:rFonts w:ascii="Times New Roman" w:hAnsi="Times New Roman" w:cs="Times New Roman"/>
          <w:sz w:val="24"/>
          <w:szCs w:val="24"/>
        </w:rPr>
        <w:t xml:space="preserve">       </w:t>
      </w:r>
    </w:p>
    <w:p w14:paraId="2EDD4D1B" w14:textId="77777777" w:rsidR="00AE251F" w:rsidRDefault="00AE251F" w:rsidP="00C02101">
      <w:pPr>
        <w:spacing w:after="0" w:line="240" w:lineRule="auto"/>
        <w:contextualSpacing/>
        <w:jc w:val="both"/>
        <w:rPr>
          <w:rFonts w:ascii="Times New Roman" w:hAnsi="Times New Roman"/>
          <w:sz w:val="24"/>
          <w:szCs w:val="24"/>
        </w:rPr>
      </w:pPr>
    </w:p>
    <w:p w14:paraId="7AE3C206" w14:textId="34928953" w:rsidR="00AE251F" w:rsidRPr="005137F2" w:rsidRDefault="00AE251F" w:rsidP="00C02101">
      <w:pPr>
        <w:jc w:val="both"/>
        <w:rPr>
          <w:rFonts w:ascii="Times New Roman" w:hAnsi="Times New Roman" w:cs="Times New Roman"/>
          <w:sz w:val="24"/>
          <w:szCs w:val="24"/>
        </w:rPr>
      </w:pPr>
      <w:r>
        <w:rPr>
          <w:rFonts w:ascii="Times New Roman" w:hAnsi="Times New Roman"/>
          <w:sz w:val="24"/>
          <w:szCs w:val="24"/>
        </w:rPr>
        <w:t>The dependent variable (R&amp;D Growth) is measured as follows: RD_Gwth</w:t>
      </w:r>
      <w:r w:rsidRPr="00FD3A6E">
        <w:rPr>
          <w:rFonts w:ascii="Times New Roman" w:hAnsi="Times New Roman"/>
          <w:sz w:val="24"/>
          <w:szCs w:val="24"/>
        </w:rPr>
        <w:t xml:space="preserve"> </w:t>
      </w:r>
      <w:r>
        <w:rPr>
          <w:rFonts w:ascii="Times New Roman" w:hAnsi="Times New Roman"/>
          <w:sz w:val="24"/>
          <w:szCs w:val="24"/>
        </w:rPr>
        <w:t>is the change in R&amp;D expenditures divided by lagged R&amp;D expenditures;</w:t>
      </w:r>
      <w:r w:rsidRPr="00FD3A6E">
        <w:rPr>
          <w:rFonts w:ascii="Times New Roman" w:hAnsi="Times New Roman"/>
          <w:sz w:val="24"/>
          <w:szCs w:val="24"/>
        </w:rPr>
        <w:t xml:space="preserve"> </w:t>
      </w:r>
      <w:r>
        <w:rPr>
          <w:rFonts w:ascii="Times New Roman" w:hAnsi="Times New Roman"/>
          <w:sz w:val="24"/>
          <w:szCs w:val="24"/>
        </w:rPr>
        <w:t>RD_TA is the change in R&amp;D expenditure</w:t>
      </w:r>
      <w:r w:rsidR="00CE2272">
        <w:rPr>
          <w:rFonts w:ascii="Times New Roman" w:hAnsi="Times New Roman"/>
          <w:sz w:val="24"/>
          <w:szCs w:val="24"/>
        </w:rPr>
        <w:t>s</w:t>
      </w:r>
      <w:r>
        <w:rPr>
          <w:rFonts w:ascii="Times New Roman" w:hAnsi="Times New Roman"/>
          <w:sz w:val="24"/>
          <w:szCs w:val="24"/>
        </w:rPr>
        <w:t xml:space="preserve"> scaled by lagged total assets</w:t>
      </w:r>
      <w:r w:rsidR="00FA2728">
        <w:rPr>
          <w:rFonts w:ascii="Times New Roman" w:hAnsi="Times New Roman"/>
          <w:sz w:val="24"/>
          <w:szCs w:val="24"/>
        </w:rPr>
        <w:t>;</w:t>
      </w:r>
      <w:r w:rsidR="00CE2272">
        <w:rPr>
          <w:rFonts w:ascii="Times New Roman" w:hAnsi="Times New Roman"/>
          <w:sz w:val="24"/>
          <w:szCs w:val="24"/>
        </w:rPr>
        <w:t xml:space="preserve"> </w:t>
      </w:r>
      <w:r w:rsidR="00FA2728">
        <w:rPr>
          <w:rFonts w:ascii="Times New Roman" w:hAnsi="Times New Roman"/>
          <w:sz w:val="24"/>
          <w:szCs w:val="24"/>
        </w:rPr>
        <w:t xml:space="preserve">RD_Sales is the change in R&amp;D expenditures divided by lagged sales. </w:t>
      </w:r>
      <w:r>
        <w:rPr>
          <w:rFonts w:ascii="Times New Roman" w:hAnsi="Times New Roman"/>
          <w:sz w:val="24"/>
          <w:szCs w:val="24"/>
        </w:rPr>
        <w:t xml:space="preserve">SWITCH is an indicator variable </w:t>
      </w:r>
      <w:r w:rsidR="00104CB6">
        <w:rPr>
          <w:rFonts w:ascii="Times New Roman" w:hAnsi="Times New Roman"/>
          <w:sz w:val="24"/>
          <w:szCs w:val="24"/>
        </w:rPr>
        <w:t>that equals 1 for swit</w:t>
      </w:r>
      <w:r w:rsidR="00CE2272">
        <w:rPr>
          <w:rFonts w:ascii="Times New Roman" w:hAnsi="Times New Roman"/>
          <w:sz w:val="24"/>
          <w:szCs w:val="24"/>
        </w:rPr>
        <w:t>c</w:t>
      </w:r>
      <w:r w:rsidR="00104CB6">
        <w:rPr>
          <w:rFonts w:ascii="Times New Roman" w:hAnsi="Times New Roman"/>
          <w:sz w:val="24"/>
          <w:szCs w:val="24"/>
        </w:rPr>
        <w:t>h</w:t>
      </w:r>
      <w:r w:rsidR="00CE2272">
        <w:rPr>
          <w:rFonts w:ascii="Times New Roman" w:hAnsi="Times New Roman"/>
          <w:sz w:val="24"/>
          <w:szCs w:val="24"/>
        </w:rPr>
        <w:t xml:space="preserve">ers </w:t>
      </w:r>
      <w:r w:rsidR="00EE37C3">
        <w:rPr>
          <w:rFonts w:ascii="Times New Roman" w:hAnsi="Times New Roman"/>
          <w:sz w:val="24"/>
          <w:szCs w:val="24"/>
        </w:rPr>
        <w:t>(</w:t>
      </w:r>
      <w:r w:rsidR="00CE2272">
        <w:rPr>
          <w:rFonts w:ascii="Times New Roman" w:hAnsi="Times New Roman"/>
          <w:sz w:val="24"/>
          <w:szCs w:val="24"/>
        </w:rPr>
        <w:t xml:space="preserve">firms that switched from </w:t>
      </w:r>
      <w:r w:rsidR="00AA5F43">
        <w:rPr>
          <w:rFonts w:ascii="Times New Roman" w:hAnsi="Times New Roman" w:cs="Times New Roman"/>
          <w:sz w:val="24"/>
          <w:szCs w:val="24"/>
        </w:rPr>
        <w:t>expensing R&amp;D under UK GAAP to capitalizing R&amp;D under IFRS</w:t>
      </w:r>
      <w:r w:rsidR="00EE37C3">
        <w:rPr>
          <w:rFonts w:ascii="Times New Roman" w:hAnsi="Times New Roman"/>
          <w:sz w:val="24"/>
          <w:szCs w:val="24"/>
        </w:rPr>
        <w:t>)</w:t>
      </w:r>
      <w:r w:rsidR="00CE2272">
        <w:rPr>
          <w:rFonts w:ascii="Times New Roman" w:hAnsi="Times New Roman"/>
          <w:sz w:val="24"/>
          <w:szCs w:val="24"/>
        </w:rPr>
        <w:t>, and 0 for capitalizers (firms that always capitalized under UK GAAP and IFRS</w:t>
      </w:r>
      <w:r w:rsidR="00CE2272" w:rsidRPr="005137F2">
        <w:rPr>
          <w:rFonts w:ascii="Times New Roman" w:hAnsi="Times New Roman" w:cs="Times New Roman"/>
          <w:sz w:val="24"/>
          <w:szCs w:val="24"/>
        </w:rPr>
        <w:t>). IFRS</w:t>
      </w:r>
      <w:r w:rsidR="007C2B27" w:rsidRPr="005137F2">
        <w:rPr>
          <w:rFonts w:ascii="Times New Roman" w:hAnsi="Times New Roman" w:cs="Times New Roman"/>
          <w:sz w:val="24"/>
          <w:szCs w:val="24"/>
          <w:vertAlign w:val="subscript"/>
        </w:rPr>
        <w:t>t</w:t>
      </w:r>
      <w:r w:rsidR="007C2B27" w:rsidRPr="005137F2">
        <w:rPr>
          <w:rFonts w:ascii="Times New Roman" w:hAnsi="Times New Roman" w:cs="Times New Roman"/>
          <w:sz w:val="24"/>
          <w:szCs w:val="24"/>
        </w:rPr>
        <w:t xml:space="preserve"> are a sequence of indicator variables that equals 1 in the year t relative to IFRS period (2005 and beyond) and 0 otherwise, where t runs from </w:t>
      </w:r>
      <w:r w:rsidR="00EE37C3" w:rsidRPr="005137F2">
        <w:rPr>
          <w:rFonts w:ascii="Times New Roman" w:hAnsi="Times New Roman" w:cs="Times New Roman"/>
          <w:sz w:val="24"/>
          <w:szCs w:val="24"/>
        </w:rPr>
        <w:t>-</w:t>
      </w:r>
      <w:r w:rsidR="007C2B27" w:rsidRPr="005137F2">
        <w:rPr>
          <w:rFonts w:ascii="Times New Roman" w:hAnsi="Times New Roman" w:cs="Times New Roman"/>
          <w:sz w:val="24"/>
          <w:szCs w:val="24"/>
        </w:rPr>
        <w:t>4 to +3 (i.e., 4 years before through 3 years after IFRS adoption).</w:t>
      </w:r>
      <w:r w:rsidR="007C2B27" w:rsidRPr="005137F2">
        <w:rPr>
          <w:rFonts w:ascii="Times New Roman" w:hAnsi="Times New Roman" w:cs="Times New Roman"/>
          <w:sz w:val="24"/>
          <w:szCs w:val="24"/>
          <w:vertAlign w:val="subscript"/>
        </w:rPr>
        <w:t xml:space="preserve"> </w:t>
      </w:r>
      <w:r w:rsidRPr="005137F2">
        <w:rPr>
          <w:rFonts w:ascii="Times New Roman" w:hAnsi="Times New Roman" w:cs="Times New Roman"/>
          <w:sz w:val="24"/>
          <w:szCs w:val="24"/>
        </w:rPr>
        <w:t xml:space="preserve">MVE is the natural logarithm of the firm’s market value of equity. </w:t>
      </w:r>
      <w:r w:rsidR="004E3FB1" w:rsidRPr="005137F2">
        <w:rPr>
          <w:rFonts w:ascii="Times New Roman" w:hAnsi="Times New Roman" w:cs="Times New Roman"/>
          <w:sz w:val="24"/>
          <w:szCs w:val="24"/>
        </w:rPr>
        <w:t>TOBINS</w:t>
      </w:r>
      <w:r w:rsidR="00723C53" w:rsidRPr="005137F2">
        <w:rPr>
          <w:rFonts w:ascii="Times New Roman" w:hAnsi="Times New Roman" w:cs="Times New Roman"/>
          <w:sz w:val="24"/>
          <w:szCs w:val="24"/>
        </w:rPr>
        <w:t>’s Q is the sum of market value of equity and total debt, divided by the sum of book value of equity and total debt</w:t>
      </w:r>
      <w:r w:rsidR="00677428" w:rsidRPr="005137F2">
        <w:rPr>
          <w:rFonts w:ascii="Times New Roman" w:hAnsi="Times New Roman" w:cs="Times New Roman"/>
          <w:sz w:val="24"/>
          <w:szCs w:val="24"/>
        </w:rPr>
        <w:t>;</w:t>
      </w:r>
      <w:r w:rsidR="00723C53" w:rsidRPr="005137F2">
        <w:rPr>
          <w:rFonts w:ascii="Times New Roman" w:hAnsi="Times New Roman" w:cs="Times New Roman"/>
          <w:sz w:val="24"/>
          <w:szCs w:val="24"/>
        </w:rPr>
        <w:t xml:space="preserve"> GROWTH is </w:t>
      </w:r>
      <w:r w:rsidR="00677428" w:rsidRPr="005137F2">
        <w:rPr>
          <w:rFonts w:ascii="Times New Roman" w:hAnsi="Times New Roman" w:cs="Times New Roman"/>
          <w:sz w:val="24"/>
          <w:szCs w:val="24"/>
        </w:rPr>
        <w:t xml:space="preserve">the change in total assets from period t-1 to t, scaled by lagged total assets; </w:t>
      </w:r>
      <w:r w:rsidR="00723C53" w:rsidRPr="005137F2">
        <w:rPr>
          <w:rFonts w:ascii="Times New Roman" w:hAnsi="Times New Roman" w:cs="Times New Roman"/>
          <w:sz w:val="24"/>
          <w:szCs w:val="24"/>
        </w:rPr>
        <w:t>LEVERAGE is</w:t>
      </w:r>
      <w:r w:rsidR="00980FEE" w:rsidRPr="005137F2">
        <w:rPr>
          <w:rFonts w:ascii="Times New Roman" w:hAnsi="Times New Roman" w:cs="Times New Roman"/>
          <w:sz w:val="24"/>
          <w:szCs w:val="24"/>
        </w:rPr>
        <w:t xml:space="preserve"> debt divided by book value of equity</w:t>
      </w:r>
      <w:r w:rsidR="0095688F" w:rsidRPr="005137F2">
        <w:rPr>
          <w:rFonts w:ascii="Times New Roman" w:hAnsi="Times New Roman" w:cs="Times New Roman"/>
          <w:sz w:val="24"/>
          <w:szCs w:val="24"/>
        </w:rPr>
        <w:t>.</w:t>
      </w:r>
      <w:r w:rsidR="00723C53" w:rsidRPr="005137F2">
        <w:rPr>
          <w:rFonts w:ascii="Times New Roman" w:hAnsi="Times New Roman" w:cs="Times New Roman"/>
          <w:sz w:val="24"/>
          <w:szCs w:val="24"/>
        </w:rPr>
        <w:t xml:space="preserve"> C</w:t>
      </w:r>
      <w:r w:rsidR="0095688F" w:rsidRPr="005137F2">
        <w:rPr>
          <w:rFonts w:ascii="Times New Roman" w:hAnsi="Times New Roman" w:cs="Times New Roman"/>
          <w:sz w:val="24"/>
          <w:szCs w:val="24"/>
        </w:rPr>
        <w:t xml:space="preserve">FO is cash flow from operations, scaled </w:t>
      </w:r>
      <w:r w:rsidR="00677428" w:rsidRPr="005137F2">
        <w:rPr>
          <w:rFonts w:ascii="Times New Roman" w:hAnsi="Times New Roman" w:cs="Times New Roman"/>
          <w:sz w:val="24"/>
          <w:szCs w:val="24"/>
        </w:rPr>
        <w:t>by average total assets from period t-1 to t;</w:t>
      </w:r>
      <w:r w:rsidR="00626EE8" w:rsidRPr="005137F2">
        <w:rPr>
          <w:rFonts w:ascii="Times New Roman" w:hAnsi="Times New Roman" w:cs="Times New Roman"/>
          <w:sz w:val="24"/>
          <w:szCs w:val="24"/>
        </w:rPr>
        <w:t xml:space="preserve"> </w:t>
      </w:r>
      <w:r w:rsidR="00723C53" w:rsidRPr="005137F2">
        <w:rPr>
          <w:rFonts w:ascii="Times New Roman" w:hAnsi="Times New Roman" w:cs="Times New Roman"/>
          <w:sz w:val="24"/>
          <w:szCs w:val="24"/>
        </w:rPr>
        <w:t xml:space="preserve">CASHEQ is </w:t>
      </w:r>
      <w:r w:rsidR="00677428" w:rsidRPr="005137F2">
        <w:rPr>
          <w:rFonts w:ascii="Times New Roman" w:hAnsi="Times New Roman" w:cs="Times New Roman"/>
          <w:sz w:val="24"/>
          <w:szCs w:val="24"/>
        </w:rPr>
        <w:t>cash and cash equivalents, scaled by average total assets from period t-1 to t</w:t>
      </w:r>
      <w:r w:rsidR="00626EE8" w:rsidRPr="005137F2">
        <w:rPr>
          <w:rFonts w:ascii="Times New Roman" w:hAnsi="Times New Roman" w:cs="Times New Roman"/>
          <w:sz w:val="24"/>
          <w:szCs w:val="24"/>
        </w:rPr>
        <w:t>.</w:t>
      </w:r>
      <w:r w:rsidR="00677428" w:rsidRPr="005137F2">
        <w:rPr>
          <w:rFonts w:ascii="Times New Roman" w:hAnsi="Times New Roman" w:cs="Times New Roman"/>
          <w:sz w:val="24"/>
          <w:szCs w:val="24"/>
        </w:rPr>
        <w:t xml:space="preserve"> </w:t>
      </w:r>
      <w:r w:rsidR="00723C53" w:rsidRPr="005137F2">
        <w:rPr>
          <w:rFonts w:ascii="Times New Roman" w:hAnsi="Times New Roman" w:cs="Times New Roman"/>
          <w:sz w:val="24"/>
          <w:szCs w:val="24"/>
        </w:rPr>
        <w:t xml:space="preserve"> </w:t>
      </w:r>
      <w:r w:rsidRPr="005137F2">
        <w:rPr>
          <w:rFonts w:ascii="Times New Roman" w:hAnsi="Times New Roman" w:cs="Times New Roman"/>
          <w:sz w:val="24"/>
          <w:szCs w:val="24"/>
        </w:rPr>
        <w:t>All variables</w:t>
      </w:r>
      <w:r w:rsidR="0058028C" w:rsidRPr="005137F2">
        <w:rPr>
          <w:rFonts w:ascii="Times New Roman" w:hAnsi="Times New Roman" w:cs="Times New Roman"/>
          <w:sz w:val="24"/>
          <w:szCs w:val="24"/>
        </w:rPr>
        <w:t>,</w:t>
      </w:r>
      <w:r w:rsidRPr="005137F2">
        <w:rPr>
          <w:rFonts w:ascii="Times New Roman" w:hAnsi="Times New Roman" w:cs="Times New Roman"/>
          <w:sz w:val="24"/>
          <w:szCs w:val="24"/>
        </w:rPr>
        <w:t xml:space="preserve"> unless otherwise noted</w:t>
      </w:r>
      <w:r w:rsidR="0058028C" w:rsidRPr="005137F2">
        <w:rPr>
          <w:rFonts w:ascii="Times New Roman" w:hAnsi="Times New Roman" w:cs="Times New Roman"/>
          <w:sz w:val="24"/>
          <w:szCs w:val="24"/>
        </w:rPr>
        <w:t>,</w:t>
      </w:r>
      <w:r w:rsidRPr="005137F2">
        <w:rPr>
          <w:rFonts w:ascii="Times New Roman" w:hAnsi="Times New Roman" w:cs="Times New Roman"/>
          <w:sz w:val="24"/>
          <w:szCs w:val="24"/>
        </w:rPr>
        <w:t xml:space="preserve"> are measured at fiscal year-end. </w:t>
      </w:r>
    </w:p>
    <w:p w14:paraId="21849763" w14:textId="7DFB4A1C" w:rsidR="00AE251F" w:rsidRDefault="00AE251F" w:rsidP="00C02101">
      <w:pPr>
        <w:spacing w:after="0" w:line="240" w:lineRule="auto"/>
        <w:contextualSpacing/>
        <w:jc w:val="both"/>
        <w:rPr>
          <w:rFonts w:ascii="Times New Roman" w:hAnsi="Times New Roman"/>
          <w:sz w:val="24"/>
          <w:szCs w:val="24"/>
        </w:rPr>
      </w:pPr>
      <w:r w:rsidRPr="0080751D">
        <w:rPr>
          <w:rFonts w:ascii="Times New Roman" w:hAnsi="Times New Roman"/>
          <w:sz w:val="24"/>
          <w:szCs w:val="24"/>
        </w:rPr>
        <w:t>Standard errors are clustered by firm.</w:t>
      </w:r>
      <w:r>
        <w:rPr>
          <w:rFonts w:ascii="Times New Roman" w:hAnsi="Times New Roman"/>
          <w:sz w:val="24"/>
          <w:szCs w:val="24"/>
        </w:rPr>
        <w:t xml:space="preserve"> </w:t>
      </w:r>
    </w:p>
    <w:p w14:paraId="76B07F43" w14:textId="77777777" w:rsidR="00AE251F" w:rsidRPr="0080751D" w:rsidRDefault="00AE251F" w:rsidP="00C02101">
      <w:pPr>
        <w:spacing w:after="0" w:line="240" w:lineRule="auto"/>
        <w:contextualSpacing/>
        <w:jc w:val="both"/>
        <w:rPr>
          <w:rFonts w:ascii="Times New Roman" w:hAnsi="Times New Roman"/>
          <w:sz w:val="24"/>
          <w:szCs w:val="24"/>
        </w:rPr>
      </w:pPr>
    </w:p>
    <w:p w14:paraId="6C0F266C" w14:textId="77777777" w:rsidR="00AE251F" w:rsidRPr="0080751D" w:rsidRDefault="00AE251F" w:rsidP="00C02101">
      <w:pPr>
        <w:spacing w:before="100" w:beforeAutospacing="1" w:after="0" w:line="240" w:lineRule="auto"/>
        <w:contextualSpacing/>
        <w:jc w:val="both"/>
        <w:rPr>
          <w:rFonts w:ascii="Times New Roman" w:hAnsi="Times New Roman"/>
          <w:sz w:val="24"/>
          <w:szCs w:val="24"/>
        </w:rPr>
      </w:pPr>
      <w:r w:rsidRPr="0080751D">
        <w:rPr>
          <w:rFonts w:ascii="Times New Roman" w:hAnsi="Times New Roman"/>
          <w:sz w:val="24"/>
          <w:szCs w:val="24"/>
        </w:rPr>
        <w:t>*, ** and *** indicate significance at the 0.10, 0.05 and 0.01 levels, respectively.</w:t>
      </w:r>
    </w:p>
    <w:p w14:paraId="1C41EB75" w14:textId="77777777" w:rsidR="00AE251F" w:rsidRPr="0080751D" w:rsidRDefault="00AE251F" w:rsidP="00AE251F">
      <w:pPr>
        <w:spacing w:line="240" w:lineRule="auto"/>
        <w:contextualSpacing/>
        <w:rPr>
          <w:rFonts w:ascii="Times New Roman" w:hAnsi="Times New Roman"/>
          <w:b/>
          <w:sz w:val="24"/>
          <w:szCs w:val="24"/>
        </w:rPr>
      </w:pPr>
    </w:p>
    <w:p w14:paraId="27F2A279" w14:textId="77777777" w:rsidR="00AE251F" w:rsidRDefault="00AE251F" w:rsidP="00AE251F">
      <w:pPr>
        <w:rPr>
          <w:rFonts w:ascii="Times New Roman" w:hAnsi="Times New Roman"/>
          <w:sz w:val="24"/>
          <w:szCs w:val="24"/>
        </w:rPr>
      </w:pPr>
      <w:r>
        <w:rPr>
          <w:rFonts w:ascii="Times New Roman" w:hAnsi="Times New Roman"/>
          <w:sz w:val="24"/>
          <w:szCs w:val="24"/>
        </w:rPr>
        <w:br w:type="page"/>
      </w:r>
    </w:p>
    <w:p w14:paraId="224FD3ED" w14:textId="77777777" w:rsidR="00AE251F" w:rsidRPr="0080751D" w:rsidRDefault="00AE251F" w:rsidP="00AE251F">
      <w:pPr>
        <w:spacing w:line="240" w:lineRule="auto"/>
        <w:contextualSpacing/>
        <w:jc w:val="center"/>
        <w:rPr>
          <w:rFonts w:ascii="Times New Roman" w:hAnsi="Times New Roman"/>
          <w:b/>
          <w:sz w:val="24"/>
          <w:szCs w:val="24"/>
        </w:rPr>
      </w:pPr>
      <w:r w:rsidRPr="0080751D">
        <w:rPr>
          <w:rFonts w:ascii="Times New Roman" w:hAnsi="Times New Roman"/>
          <w:b/>
          <w:sz w:val="24"/>
          <w:szCs w:val="24"/>
        </w:rPr>
        <w:t xml:space="preserve">Table </w:t>
      </w:r>
      <w:r>
        <w:rPr>
          <w:rFonts w:ascii="Times New Roman" w:hAnsi="Times New Roman"/>
          <w:b/>
          <w:sz w:val="24"/>
          <w:szCs w:val="24"/>
        </w:rPr>
        <w:t>7</w:t>
      </w:r>
    </w:p>
    <w:p w14:paraId="6B81E803" w14:textId="74AAF5AA" w:rsidR="00AE251F" w:rsidRPr="0080751D" w:rsidRDefault="00AE251F" w:rsidP="00AE251F">
      <w:pPr>
        <w:pBdr>
          <w:bottom w:val="single" w:sz="12" w:space="1" w:color="auto"/>
        </w:pBdr>
        <w:spacing w:line="240" w:lineRule="auto"/>
        <w:contextualSpacing/>
        <w:jc w:val="center"/>
        <w:rPr>
          <w:rFonts w:ascii="p" w:hAnsi="p"/>
          <w:b/>
          <w:sz w:val="24"/>
          <w:szCs w:val="24"/>
          <w:vertAlign w:val="superscript"/>
        </w:rPr>
      </w:pPr>
      <w:r w:rsidRPr="0080751D">
        <w:rPr>
          <w:rFonts w:ascii="Times New Roman" w:hAnsi="Times New Roman"/>
          <w:b/>
          <w:sz w:val="24"/>
          <w:szCs w:val="24"/>
        </w:rPr>
        <w:t xml:space="preserve"> Switchers vs Non-</w:t>
      </w:r>
      <w:r w:rsidR="00E65DE4">
        <w:rPr>
          <w:rFonts w:ascii="Times New Roman" w:hAnsi="Times New Roman"/>
          <w:b/>
          <w:sz w:val="24"/>
          <w:szCs w:val="24"/>
        </w:rPr>
        <w:t>S</w:t>
      </w:r>
      <w:r w:rsidRPr="0080751D">
        <w:rPr>
          <w:rFonts w:ascii="Times New Roman" w:hAnsi="Times New Roman"/>
          <w:b/>
          <w:sz w:val="24"/>
          <w:szCs w:val="24"/>
        </w:rPr>
        <w:t>witchers</w:t>
      </w:r>
      <w:r w:rsidRPr="0080751D">
        <w:rPr>
          <w:rFonts w:ascii="p" w:hAnsi="p"/>
          <w:b/>
          <w:sz w:val="24"/>
          <w:szCs w:val="24"/>
          <w:vertAlign w:val="superscript"/>
        </w:rPr>
        <w:t>a</w:t>
      </w:r>
    </w:p>
    <w:p w14:paraId="71AEAEC7" w14:textId="3D03BA05" w:rsidR="00AE251F" w:rsidRDefault="00AE251F" w:rsidP="00AE251F">
      <w:pPr>
        <w:spacing w:line="240" w:lineRule="auto"/>
        <w:ind w:hanging="567"/>
        <w:contextualSpacing/>
        <w:rPr>
          <w:rFonts w:ascii="Times New Roman" w:hAnsi="Times New Roman"/>
          <w:b/>
          <w:sz w:val="24"/>
          <w:szCs w:val="24"/>
        </w:rPr>
      </w:pPr>
      <w:r w:rsidRPr="0080751D">
        <w:rPr>
          <w:rFonts w:ascii="Times New Roman" w:hAnsi="Times New Roman"/>
          <w:b/>
          <w:sz w:val="24"/>
          <w:szCs w:val="24"/>
        </w:rPr>
        <w:t xml:space="preserve">        </w:t>
      </w:r>
    </w:p>
    <w:tbl>
      <w:tblPr>
        <w:tblW w:w="9214" w:type="dxa"/>
        <w:jc w:val="center"/>
        <w:tblLook w:val="04A0" w:firstRow="1" w:lastRow="0" w:firstColumn="1" w:lastColumn="0" w:noHBand="0" w:noVBand="1"/>
      </w:tblPr>
      <w:tblGrid>
        <w:gridCol w:w="2685"/>
        <w:gridCol w:w="2056"/>
        <w:gridCol w:w="2006"/>
        <w:gridCol w:w="2467"/>
      </w:tblGrid>
      <w:tr w:rsidR="006E17B8" w:rsidRPr="003C71A0" w14:paraId="02CCF4EE" w14:textId="77777777" w:rsidTr="00480C6E">
        <w:trPr>
          <w:trHeight w:val="274"/>
          <w:jc w:val="center"/>
        </w:trPr>
        <w:tc>
          <w:tcPr>
            <w:tcW w:w="2685" w:type="dxa"/>
            <w:tcBorders>
              <w:top w:val="nil"/>
              <w:left w:val="nil"/>
              <w:bottom w:val="nil"/>
              <w:right w:val="nil"/>
            </w:tcBorders>
          </w:tcPr>
          <w:p w14:paraId="2FCD2BFD" w14:textId="77777777" w:rsidR="006E17B8" w:rsidRDefault="006E17B8" w:rsidP="006E17B8">
            <w:pPr>
              <w:spacing w:after="0" w:line="240" w:lineRule="auto"/>
              <w:rPr>
                <w:rFonts w:ascii="Times New Roman" w:hAnsi="Times New Roman" w:cs="Times New Roman"/>
                <w:sz w:val="24"/>
                <w:szCs w:val="24"/>
              </w:rPr>
            </w:pPr>
          </w:p>
        </w:tc>
        <w:tc>
          <w:tcPr>
            <w:tcW w:w="2056" w:type="dxa"/>
            <w:tcBorders>
              <w:top w:val="nil"/>
              <w:left w:val="nil"/>
              <w:bottom w:val="single" w:sz="4" w:space="0" w:color="auto"/>
              <w:right w:val="nil"/>
            </w:tcBorders>
          </w:tcPr>
          <w:p w14:paraId="6D1D5556"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RD_Gwth</w:t>
            </w:r>
          </w:p>
        </w:tc>
        <w:tc>
          <w:tcPr>
            <w:tcW w:w="2006" w:type="dxa"/>
            <w:tcBorders>
              <w:top w:val="nil"/>
              <w:left w:val="nil"/>
              <w:bottom w:val="single" w:sz="4" w:space="0" w:color="auto"/>
              <w:right w:val="nil"/>
            </w:tcBorders>
          </w:tcPr>
          <w:p w14:paraId="195FA893"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RD_TA</w:t>
            </w:r>
          </w:p>
        </w:tc>
        <w:tc>
          <w:tcPr>
            <w:tcW w:w="2467" w:type="dxa"/>
            <w:tcBorders>
              <w:top w:val="nil"/>
              <w:left w:val="nil"/>
              <w:bottom w:val="single" w:sz="4" w:space="0" w:color="auto"/>
              <w:right w:val="nil"/>
            </w:tcBorders>
          </w:tcPr>
          <w:p w14:paraId="05D2CB46"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RD_Sales</w:t>
            </w:r>
          </w:p>
        </w:tc>
      </w:tr>
      <w:tr w:rsidR="006E17B8" w:rsidRPr="003C71A0" w14:paraId="105F0CD7" w14:textId="77777777" w:rsidTr="00480C6E">
        <w:trPr>
          <w:trHeight w:val="274"/>
          <w:jc w:val="center"/>
        </w:trPr>
        <w:tc>
          <w:tcPr>
            <w:tcW w:w="2685" w:type="dxa"/>
            <w:tcBorders>
              <w:top w:val="nil"/>
              <w:left w:val="nil"/>
              <w:bottom w:val="nil"/>
              <w:right w:val="nil"/>
            </w:tcBorders>
          </w:tcPr>
          <w:p w14:paraId="0BDD004B" w14:textId="77777777" w:rsidR="006E17B8" w:rsidRPr="003C71A0" w:rsidRDefault="006E17B8" w:rsidP="006E17B8">
            <w:pPr>
              <w:spacing w:after="0" w:line="240" w:lineRule="auto"/>
              <w:rPr>
                <w:rFonts w:ascii="Times New Roman" w:hAnsi="Times New Roman"/>
                <w:color w:val="000000"/>
                <w:sz w:val="24"/>
                <w:szCs w:val="24"/>
              </w:rPr>
            </w:pPr>
            <w:r>
              <w:rPr>
                <w:rFonts w:ascii="Times New Roman" w:hAnsi="Times New Roman" w:cs="Times New Roman"/>
                <w:sz w:val="24"/>
                <w:szCs w:val="24"/>
              </w:rPr>
              <w:t>SWITCH*IFRS year - 3</w:t>
            </w:r>
          </w:p>
        </w:tc>
        <w:tc>
          <w:tcPr>
            <w:tcW w:w="2056" w:type="dxa"/>
            <w:tcBorders>
              <w:top w:val="single" w:sz="4" w:space="0" w:color="auto"/>
              <w:left w:val="nil"/>
              <w:bottom w:val="nil"/>
              <w:right w:val="nil"/>
            </w:tcBorders>
          </w:tcPr>
          <w:p w14:paraId="3860E8B5"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w:t>
            </w:r>
          </w:p>
        </w:tc>
        <w:tc>
          <w:tcPr>
            <w:tcW w:w="2006" w:type="dxa"/>
            <w:tcBorders>
              <w:top w:val="single" w:sz="4" w:space="0" w:color="auto"/>
              <w:left w:val="nil"/>
              <w:bottom w:val="nil"/>
              <w:right w:val="nil"/>
            </w:tcBorders>
          </w:tcPr>
          <w:p w14:paraId="78CC3FB5"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0.003</w:t>
            </w:r>
          </w:p>
        </w:tc>
        <w:tc>
          <w:tcPr>
            <w:tcW w:w="2467" w:type="dxa"/>
            <w:tcBorders>
              <w:top w:val="single" w:sz="4" w:space="0" w:color="auto"/>
              <w:left w:val="nil"/>
              <w:bottom w:val="nil"/>
              <w:right w:val="nil"/>
            </w:tcBorders>
          </w:tcPr>
          <w:p w14:paraId="4EB4FD1C"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-0.003</w:t>
            </w:r>
          </w:p>
        </w:tc>
      </w:tr>
      <w:tr w:rsidR="006E17B8" w:rsidRPr="003C71A0" w14:paraId="7B441907" w14:textId="77777777" w:rsidTr="00480C6E">
        <w:trPr>
          <w:trHeight w:val="274"/>
          <w:jc w:val="center"/>
        </w:trPr>
        <w:tc>
          <w:tcPr>
            <w:tcW w:w="2685" w:type="dxa"/>
            <w:tcBorders>
              <w:top w:val="nil"/>
              <w:left w:val="nil"/>
              <w:bottom w:val="nil"/>
              <w:right w:val="nil"/>
            </w:tcBorders>
          </w:tcPr>
          <w:p w14:paraId="297C5CA3" w14:textId="77777777" w:rsidR="006E17B8" w:rsidRPr="003C71A0" w:rsidRDefault="006E17B8" w:rsidP="006E17B8">
            <w:pPr>
              <w:spacing w:after="0" w:line="240" w:lineRule="auto"/>
              <w:jc w:val="center"/>
              <w:rPr>
                <w:rFonts w:ascii="Times New Roman" w:hAnsi="Times New Roman"/>
                <w:color w:val="000000"/>
                <w:sz w:val="24"/>
                <w:szCs w:val="24"/>
              </w:rPr>
            </w:pPr>
          </w:p>
        </w:tc>
        <w:tc>
          <w:tcPr>
            <w:tcW w:w="2056" w:type="dxa"/>
            <w:tcBorders>
              <w:top w:val="nil"/>
              <w:left w:val="nil"/>
              <w:bottom w:val="nil"/>
              <w:right w:val="nil"/>
            </w:tcBorders>
          </w:tcPr>
          <w:p w14:paraId="22FAAC76"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(-0.01)</w:t>
            </w:r>
          </w:p>
        </w:tc>
        <w:tc>
          <w:tcPr>
            <w:tcW w:w="2006" w:type="dxa"/>
            <w:tcBorders>
              <w:top w:val="nil"/>
              <w:left w:val="nil"/>
              <w:bottom w:val="nil"/>
              <w:right w:val="nil"/>
            </w:tcBorders>
          </w:tcPr>
          <w:p w14:paraId="05B6FD24"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(0.50)</w:t>
            </w:r>
          </w:p>
        </w:tc>
        <w:tc>
          <w:tcPr>
            <w:tcW w:w="2467" w:type="dxa"/>
            <w:tcBorders>
              <w:top w:val="nil"/>
              <w:left w:val="nil"/>
              <w:bottom w:val="nil"/>
              <w:right w:val="nil"/>
            </w:tcBorders>
          </w:tcPr>
          <w:p w14:paraId="581A127D"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(-0.27)</w:t>
            </w:r>
          </w:p>
        </w:tc>
      </w:tr>
      <w:tr w:rsidR="006E17B8" w:rsidRPr="003C71A0" w14:paraId="784AEC1C" w14:textId="77777777" w:rsidTr="00480C6E">
        <w:trPr>
          <w:trHeight w:val="274"/>
          <w:jc w:val="center"/>
        </w:trPr>
        <w:tc>
          <w:tcPr>
            <w:tcW w:w="2685" w:type="dxa"/>
            <w:tcBorders>
              <w:top w:val="nil"/>
              <w:left w:val="nil"/>
              <w:bottom w:val="nil"/>
              <w:right w:val="nil"/>
            </w:tcBorders>
          </w:tcPr>
          <w:p w14:paraId="7E8116A7" w14:textId="77777777" w:rsidR="006E17B8" w:rsidRPr="003C71A0" w:rsidRDefault="006E17B8" w:rsidP="006E17B8">
            <w:pPr>
              <w:spacing w:after="0" w:line="240" w:lineRule="auto"/>
              <w:rPr>
                <w:rFonts w:ascii="Times New Roman" w:hAnsi="Times New Roman"/>
                <w:color w:val="000000"/>
                <w:sz w:val="24"/>
                <w:szCs w:val="24"/>
              </w:rPr>
            </w:pPr>
            <w:r>
              <w:rPr>
                <w:rFonts w:ascii="Times New Roman" w:hAnsi="Times New Roman" w:cs="Times New Roman"/>
                <w:sz w:val="24"/>
                <w:szCs w:val="24"/>
              </w:rPr>
              <w:t>SWITCH*IFRS year – 2</w:t>
            </w:r>
          </w:p>
        </w:tc>
        <w:tc>
          <w:tcPr>
            <w:tcW w:w="2056" w:type="dxa"/>
            <w:tcBorders>
              <w:top w:val="nil"/>
              <w:left w:val="nil"/>
              <w:bottom w:val="nil"/>
              <w:right w:val="nil"/>
            </w:tcBorders>
          </w:tcPr>
          <w:p w14:paraId="394F0146"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0.060</w:t>
            </w:r>
          </w:p>
        </w:tc>
        <w:tc>
          <w:tcPr>
            <w:tcW w:w="2006" w:type="dxa"/>
            <w:tcBorders>
              <w:top w:val="nil"/>
              <w:left w:val="nil"/>
              <w:bottom w:val="nil"/>
              <w:right w:val="nil"/>
            </w:tcBorders>
          </w:tcPr>
          <w:p w14:paraId="26F0B6F8"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0.003</w:t>
            </w:r>
          </w:p>
        </w:tc>
        <w:tc>
          <w:tcPr>
            <w:tcW w:w="2467" w:type="dxa"/>
            <w:tcBorders>
              <w:top w:val="nil"/>
              <w:left w:val="nil"/>
              <w:bottom w:val="nil"/>
              <w:right w:val="nil"/>
            </w:tcBorders>
          </w:tcPr>
          <w:p w14:paraId="7BA80814"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0.004</w:t>
            </w:r>
          </w:p>
        </w:tc>
      </w:tr>
      <w:tr w:rsidR="006E17B8" w:rsidRPr="003C71A0" w14:paraId="093824C4" w14:textId="77777777" w:rsidTr="00480C6E">
        <w:trPr>
          <w:trHeight w:val="274"/>
          <w:jc w:val="center"/>
        </w:trPr>
        <w:tc>
          <w:tcPr>
            <w:tcW w:w="2685" w:type="dxa"/>
            <w:tcBorders>
              <w:top w:val="nil"/>
              <w:left w:val="nil"/>
              <w:bottom w:val="nil"/>
              <w:right w:val="nil"/>
            </w:tcBorders>
          </w:tcPr>
          <w:p w14:paraId="6D50F052" w14:textId="77777777" w:rsidR="006E17B8" w:rsidRPr="003C71A0" w:rsidRDefault="006E17B8" w:rsidP="006E17B8">
            <w:pPr>
              <w:spacing w:after="0" w:line="240" w:lineRule="auto"/>
              <w:jc w:val="center"/>
              <w:rPr>
                <w:rFonts w:ascii="Times New Roman" w:hAnsi="Times New Roman"/>
                <w:color w:val="000000"/>
                <w:sz w:val="24"/>
                <w:szCs w:val="24"/>
              </w:rPr>
            </w:pPr>
          </w:p>
        </w:tc>
        <w:tc>
          <w:tcPr>
            <w:tcW w:w="2056" w:type="dxa"/>
            <w:tcBorders>
              <w:top w:val="nil"/>
              <w:left w:val="nil"/>
              <w:bottom w:val="nil"/>
              <w:right w:val="nil"/>
            </w:tcBorders>
          </w:tcPr>
          <w:p w14:paraId="55206742"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(1.03)</w:t>
            </w:r>
          </w:p>
        </w:tc>
        <w:tc>
          <w:tcPr>
            <w:tcW w:w="2006" w:type="dxa"/>
            <w:tcBorders>
              <w:top w:val="nil"/>
              <w:left w:val="nil"/>
              <w:bottom w:val="nil"/>
              <w:right w:val="nil"/>
            </w:tcBorders>
          </w:tcPr>
          <w:p w14:paraId="5726375A"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(0.67)</w:t>
            </w:r>
          </w:p>
        </w:tc>
        <w:tc>
          <w:tcPr>
            <w:tcW w:w="2467" w:type="dxa"/>
            <w:tcBorders>
              <w:top w:val="nil"/>
              <w:left w:val="nil"/>
              <w:bottom w:val="nil"/>
              <w:right w:val="nil"/>
            </w:tcBorders>
          </w:tcPr>
          <w:p w14:paraId="70265281"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(0.42)</w:t>
            </w:r>
          </w:p>
        </w:tc>
      </w:tr>
      <w:tr w:rsidR="006E17B8" w:rsidRPr="003C71A0" w14:paraId="10ABE801" w14:textId="77777777" w:rsidTr="00480C6E">
        <w:trPr>
          <w:trHeight w:val="274"/>
          <w:jc w:val="center"/>
        </w:trPr>
        <w:tc>
          <w:tcPr>
            <w:tcW w:w="2685" w:type="dxa"/>
            <w:tcBorders>
              <w:top w:val="nil"/>
              <w:left w:val="nil"/>
              <w:bottom w:val="nil"/>
              <w:right w:val="nil"/>
            </w:tcBorders>
          </w:tcPr>
          <w:p w14:paraId="49E71718" w14:textId="77777777" w:rsidR="006E17B8" w:rsidRPr="003C71A0" w:rsidRDefault="006E17B8" w:rsidP="006E17B8">
            <w:pPr>
              <w:spacing w:after="0" w:line="240" w:lineRule="auto"/>
              <w:rPr>
                <w:rFonts w:ascii="Times New Roman" w:hAnsi="Times New Roman"/>
                <w:color w:val="000000"/>
                <w:sz w:val="24"/>
                <w:szCs w:val="24"/>
              </w:rPr>
            </w:pPr>
            <w:r>
              <w:rPr>
                <w:rFonts w:ascii="Times New Roman" w:hAnsi="Times New Roman" w:cs="Times New Roman"/>
                <w:sz w:val="24"/>
                <w:szCs w:val="24"/>
              </w:rPr>
              <w:t>SWITCH*IFRS year – 1</w:t>
            </w:r>
          </w:p>
        </w:tc>
        <w:tc>
          <w:tcPr>
            <w:tcW w:w="2056" w:type="dxa"/>
            <w:tcBorders>
              <w:top w:val="nil"/>
              <w:left w:val="nil"/>
              <w:bottom w:val="nil"/>
              <w:right w:val="nil"/>
            </w:tcBorders>
          </w:tcPr>
          <w:p w14:paraId="416DCDC8"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0.030</w:t>
            </w:r>
          </w:p>
        </w:tc>
        <w:tc>
          <w:tcPr>
            <w:tcW w:w="2006" w:type="dxa"/>
            <w:tcBorders>
              <w:top w:val="nil"/>
              <w:left w:val="nil"/>
              <w:bottom w:val="nil"/>
              <w:right w:val="nil"/>
            </w:tcBorders>
          </w:tcPr>
          <w:p w14:paraId="2C7C583C"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0.007</w:t>
            </w:r>
          </w:p>
        </w:tc>
        <w:tc>
          <w:tcPr>
            <w:tcW w:w="2467" w:type="dxa"/>
            <w:tcBorders>
              <w:top w:val="nil"/>
              <w:left w:val="nil"/>
              <w:bottom w:val="nil"/>
              <w:right w:val="nil"/>
            </w:tcBorders>
          </w:tcPr>
          <w:p w14:paraId="3951C2D3"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0.003</w:t>
            </w:r>
          </w:p>
        </w:tc>
      </w:tr>
      <w:tr w:rsidR="006E17B8" w:rsidRPr="003C71A0" w14:paraId="4A5764D3" w14:textId="77777777" w:rsidTr="00480C6E">
        <w:trPr>
          <w:trHeight w:val="274"/>
          <w:jc w:val="center"/>
        </w:trPr>
        <w:tc>
          <w:tcPr>
            <w:tcW w:w="2685" w:type="dxa"/>
            <w:tcBorders>
              <w:top w:val="nil"/>
              <w:left w:val="nil"/>
              <w:bottom w:val="nil"/>
              <w:right w:val="nil"/>
            </w:tcBorders>
          </w:tcPr>
          <w:p w14:paraId="2DF02F8D" w14:textId="77777777" w:rsidR="006E17B8" w:rsidRPr="003C71A0" w:rsidRDefault="006E17B8" w:rsidP="006E17B8">
            <w:pPr>
              <w:spacing w:after="0" w:line="240" w:lineRule="auto"/>
              <w:jc w:val="center"/>
              <w:rPr>
                <w:rFonts w:ascii="Times New Roman" w:hAnsi="Times New Roman"/>
                <w:color w:val="000000"/>
                <w:sz w:val="24"/>
                <w:szCs w:val="24"/>
              </w:rPr>
            </w:pPr>
          </w:p>
        </w:tc>
        <w:tc>
          <w:tcPr>
            <w:tcW w:w="2056" w:type="dxa"/>
            <w:tcBorders>
              <w:top w:val="nil"/>
              <w:left w:val="nil"/>
              <w:bottom w:val="nil"/>
              <w:right w:val="nil"/>
            </w:tcBorders>
          </w:tcPr>
          <w:p w14:paraId="725D0F1C"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(0.52)</w:t>
            </w:r>
          </w:p>
        </w:tc>
        <w:tc>
          <w:tcPr>
            <w:tcW w:w="2006" w:type="dxa"/>
            <w:tcBorders>
              <w:top w:val="nil"/>
              <w:left w:val="nil"/>
              <w:bottom w:val="nil"/>
              <w:right w:val="nil"/>
            </w:tcBorders>
          </w:tcPr>
          <w:p w14:paraId="77198BAC"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2467" w:type="dxa"/>
            <w:tcBorders>
              <w:top w:val="nil"/>
              <w:left w:val="nil"/>
              <w:bottom w:val="nil"/>
              <w:right w:val="nil"/>
            </w:tcBorders>
          </w:tcPr>
          <w:p w14:paraId="2A1031E8"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(0.18)</w:t>
            </w:r>
          </w:p>
        </w:tc>
      </w:tr>
      <w:tr w:rsidR="006E17B8" w:rsidRPr="003C71A0" w14:paraId="4F78F090" w14:textId="77777777" w:rsidTr="00480C6E">
        <w:trPr>
          <w:trHeight w:val="274"/>
          <w:jc w:val="center"/>
        </w:trPr>
        <w:tc>
          <w:tcPr>
            <w:tcW w:w="2685" w:type="dxa"/>
            <w:tcBorders>
              <w:top w:val="nil"/>
              <w:left w:val="nil"/>
              <w:bottom w:val="nil"/>
              <w:right w:val="nil"/>
            </w:tcBorders>
          </w:tcPr>
          <w:p w14:paraId="15C3E0CD" w14:textId="77777777" w:rsidR="006E17B8" w:rsidRPr="003C71A0" w:rsidRDefault="006E17B8" w:rsidP="006E17B8">
            <w:pPr>
              <w:spacing w:after="0" w:line="240" w:lineRule="auto"/>
              <w:rPr>
                <w:rFonts w:ascii="Times New Roman" w:hAnsi="Times New Roman"/>
                <w:color w:val="000000"/>
                <w:sz w:val="24"/>
                <w:szCs w:val="24"/>
              </w:rPr>
            </w:pPr>
            <w:r>
              <w:rPr>
                <w:rFonts w:ascii="Times New Roman" w:hAnsi="Times New Roman" w:cs="Times New Roman"/>
                <w:sz w:val="24"/>
                <w:szCs w:val="24"/>
              </w:rPr>
              <w:t>SWITCH*IFRS year</w:t>
            </w:r>
          </w:p>
        </w:tc>
        <w:tc>
          <w:tcPr>
            <w:tcW w:w="2056" w:type="dxa"/>
            <w:tcBorders>
              <w:top w:val="nil"/>
              <w:left w:val="nil"/>
              <w:bottom w:val="nil"/>
              <w:right w:val="nil"/>
            </w:tcBorders>
          </w:tcPr>
          <w:p w14:paraId="1693CC67"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0.119*</w:t>
            </w:r>
          </w:p>
        </w:tc>
        <w:tc>
          <w:tcPr>
            <w:tcW w:w="2006" w:type="dxa"/>
            <w:tcBorders>
              <w:top w:val="nil"/>
              <w:left w:val="nil"/>
              <w:bottom w:val="nil"/>
              <w:right w:val="nil"/>
            </w:tcBorders>
          </w:tcPr>
          <w:p w14:paraId="3F153A2C"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0.012**</w:t>
            </w:r>
          </w:p>
        </w:tc>
        <w:tc>
          <w:tcPr>
            <w:tcW w:w="2467" w:type="dxa"/>
            <w:tcBorders>
              <w:top w:val="nil"/>
              <w:left w:val="nil"/>
              <w:bottom w:val="nil"/>
              <w:right w:val="nil"/>
            </w:tcBorders>
          </w:tcPr>
          <w:p w14:paraId="2C659103"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0.016*</w:t>
            </w:r>
          </w:p>
        </w:tc>
      </w:tr>
      <w:tr w:rsidR="006E17B8" w:rsidRPr="003C71A0" w14:paraId="3BBB7330" w14:textId="77777777" w:rsidTr="00480C6E">
        <w:trPr>
          <w:trHeight w:val="274"/>
          <w:jc w:val="center"/>
        </w:trPr>
        <w:tc>
          <w:tcPr>
            <w:tcW w:w="2685" w:type="dxa"/>
            <w:tcBorders>
              <w:top w:val="nil"/>
              <w:left w:val="nil"/>
              <w:bottom w:val="nil"/>
              <w:right w:val="nil"/>
            </w:tcBorders>
          </w:tcPr>
          <w:p w14:paraId="6DB1A14C" w14:textId="77777777" w:rsidR="006E17B8" w:rsidRPr="003C71A0" w:rsidRDefault="006E17B8" w:rsidP="006E17B8">
            <w:pPr>
              <w:spacing w:after="0" w:line="240" w:lineRule="auto"/>
              <w:jc w:val="center"/>
              <w:rPr>
                <w:rFonts w:ascii="Times New Roman" w:hAnsi="Times New Roman"/>
                <w:color w:val="000000"/>
                <w:sz w:val="24"/>
                <w:szCs w:val="24"/>
              </w:rPr>
            </w:pPr>
          </w:p>
        </w:tc>
        <w:tc>
          <w:tcPr>
            <w:tcW w:w="2056" w:type="dxa"/>
            <w:tcBorders>
              <w:top w:val="nil"/>
              <w:left w:val="nil"/>
              <w:bottom w:val="nil"/>
              <w:right w:val="nil"/>
            </w:tcBorders>
          </w:tcPr>
          <w:p w14:paraId="5285CA68"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(1.88)</w:t>
            </w:r>
          </w:p>
        </w:tc>
        <w:tc>
          <w:tcPr>
            <w:tcW w:w="2006" w:type="dxa"/>
            <w:tcBorders>
              <w:top w:val="nil"/>
              <w:left w:val="nil"/>
              <w:bottom w:val="nil"/>
              <w:right w:val="nil"/>
            </w:tcBorders>
          </w:tcPr>
          <w:p w14:paraId="71B2E3E6"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(2.06)</w:t>
            </w:r>
          </w:p>
        </w:tc>
        <w:tc>
          <w:tcPr>
            <w:tcW w:w="2467" w:type="dxa"/>
            <w:tcBorders>
              <w:top w:val="nil"/>
              <w:left w:val="nil"/>
              <w:bottom w:val="nil"/>
              <w:right w:val="nil"/>
            </w:tcBorders>
          </w:tcPr>
          <w:p w14:paraId="76DDF2E0"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(1.66)</w:t>
            </w:r>
          </w:p>
        </w:tc>
      </w:tr>
      <w:tr w:rsidR="006E17B8" w:rsidRPr="003C71A0" w14:paraId="452C7EBD" w14:textId="77777777" w:rsidTr="00480C6E">
        <w:trPr>
          <w:trHeight w:val="274"/>
          <w:jc w:val="center"/>
        </w:trPr>
        <w:tc>
          <w:tcPr>
            <w:tcW w:w="2685" w:type="dxa"/>
            <w:tcBorders>
              <w:top w:val="nil"/>
              <w:left w:val="nil"/>
              <w:bottom w:val="nil"/>
              <w:right w:val="nil"/>
            </w:tcBorders>
          </w:tcPr>
          <w:p w14:paraId="213EBD00" w14:textId="77777777" w:rsidR="006E17B8" w:rsidRPr="003C71A0" w:rsidRDefault="006E17B8" w:rsidP="006E17B8">
            <w:pPr>
              <w:spacing w:after="0" w:line="240" w:lineRule="auto"/>
              <w:rPr>
                <w:rFonts w:ascii="Times New Roman" w:hAnsi="Times New Roman"/>
                <w:color w:val="000000"/>
                <w:sz w:val="24"/>
                <w:szCs w:val="24"/>
              </w:rPr>
            </w:pPr>
            <w:r>
              <w:rPr>
                <w:rFonts w:ascii="Times New Roman" w:hAnsi="Times New Roman" w:cs="Times New Roman"/>
                <w:sz w:val="24"/>
                <w:szCs w:val="24"/>
              </w:rPr>
              <w:t>SWITCH*IFRS year + 1</w:t>
            </w:r>
          </w:p>
        </w:tc>
        <w:tc>
          <w:tcPr>
            <w:tcW w:w="2056" w:type="dxa"/>
            <w:tcBorders>
              <w:top w:val="nil"/>
              <w:left w:val="nil"/>
              <w:bottom w:val="nil"/>
              <w:right w:val="nil"/>
            </w:tcBorders>
          </w:tcPr>
          <w:p w14:paraId="7EE56431"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0.072</w:t>
            </w:r>
          </w:p>
        </w:tc>
        <w:tc>
          <w:tcPr>
            <w:tcW w:w="2006" w:type="dxa"/>
            <w:tcBorders>
              <w:top w:val="nil"/>
              <w:left w:val="nil"/>
              <w:bottom w:val="nil"/>
              <w:right w:val="nil"/>
            </w:tcBorders>
          </w:tcPr>
          <w:p w14:paraId="414198AC"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0.004</w:t>
            </w:r>
          </w:p>
        </w:tc>
        <w:tc>
          <w:tcPr>
            <w:tcW w:w="2467" w:type="dxa"/>
            <w:tcBorders>
              <w:top w:val="nil"/>
              <w:left w:val="nil"/>
              <w:bottom w:val="nil"/>
              <w:right w:val="nil"/>
            </w:tcBorders>
          </w:tcPr>
          <w:p w14:paraId="0C8AD57B"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-0.005</w:t>
            </w:r>
          </w:p>
        </w:tc>
      </w:tr>
      <w:tr w:rsidR="006E17B8" w:rsidRPr="003C71A0" w14:paraId="7730127B" w14:textId="77777777" w:rsidTr="00480C6E">
        <w:trPr>
          <w:trHeight w:val="274"/>
          <w:jc w:val="center"/>
        </w:trPr>
        <w:tc>
          <w:tcPr>
            <w:tcW w:w="2685" w:type="dxa"/>
            <w:tcBorders>
              <w:top w:val="nil"/>
              <w:left w:val="nil"/>
              <w:bottom w:val="nil"/>
              <w:right w:val="nil"/>
            </w:tcBorders>
          </w:tcPr>
          <w:p w14:paraId="5706F532" w14:textId="77777777" w:rsidR="006E17B8" w:rsidRPr="003C71A0" w:rsidRDefault="006E17B8" w:rsidP="006E17B8">
            <w:pPr>
              <w:spacing w:after="0" w:line="240" w:lineRule="auto"/>
              <w:jc w:val="center"/>
              <w:rPr>
                <w:rFonts w:ascii="Times New Roman" w:hAnsi="Times New Roman"/>
                <w:color w:val="000000"/>
                <w:sz w:val="24"/>
                <w:szCs w:val="24"/>
              </w:rPr>
            </w:pPr>
          </w:p>
        </w:tc>
        <w:tc>
          <w:tcPr>
            <w:tcW w:w="2056" w:type="dxa"/>
            <w:tcBorders>
              <w:top w:val="nil"/>
              <w:left w:val="nil"/>
              <w:bottom w:val="nil"/>
              <w:right w:val="nil"/>
            </w:tcBorders>
          </w:tcPr>
          <w:p w14:paraId="40F96584"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(1.24)</w:t>
            </w:r>
          </w:p>
        </w:tc>
        <w:tc>
          <w:tcPr>
            <w:tcW w:w="2006" w:type="dxa"/>
            <w:tcBorders>
              <w:top w:val="nil"/>
              <w:left w:val="nil"/>
              <w:bottom w:val="nil"/>
              <w:right w:val="nil"/>
            </w:tcBorders>
          </w:tcPr>
          <w:p w14:paraId="3AB85770"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(0.62)</w:t>
            </w:r>
          </w:p>
        </w:tc>
        <w:tc>
          <w:tcPr>
            <w:tcW w:w="2467" w:type="dxa"/>
            <w:tcBorders>
              <w:top w:val="nil"/>
              <w:left w:val="nil"/>
              <w:bottom w:val="nil"/>
              <w:right w:val="nil"/>
            </w:tcBorders>
          </w:tcPr>
          <w:p w14:paraId="4CFF3F66"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(-0.39)</w:t>
            </w:r>
          </w:p>
        </w:tc>
      </w:tr>
      <w:tr w:rsidR="006E17B8" w:rsidRPr="003C71A0" w14:paraId="29801EC6" w14:textId="77777777" w:rsidTr="00480C6E">
        <w:trPr>
          <w:trHeight w:val="274"/>
          <w:jc w:val="center"/>
        </w:trPr>
        <w:tc>
          <w:tcPr>
            <w:tcW w:w="2685" w:type="dxa"/>
            <w:tcBorders>
              <w:top w:val="nil"/>
              <w:left w:val="nil"/>
              <w:bottom w:val="nil"/>
              <w:right w:val="nil"/>
            </w:tcBorders>
          </w:tcPr>
          <w:p w14:paraId="0A41DE24" w14:textId="77777777" w:rsidR="006E17B8" w:rsidRPr="003C71A0" w:rsidRDefault="006E17B8" w:rsidP="006E17B8">
            <w:pPr>
              <w:spacing w:after="0" w:line="240" w:lineRule="auto"/>
              <w:rPr>
                <w:rFonts w:ascii="Times New Roman" w:hAnsi="Times New Roman"/>
                <w:color w:val="000000"/>
                <w:sz w:val="24"/>
                <w:szCs w:val="24"/>
              </w:rPr>
            </w:pPr>
            <w:r>
              <w:rPr>
                <w:rFonts w:ascii="Times New Roman" w:hAnsi="Times New Roman" w:cs="Times New Roman"/>
                <w:sz w:val="24"/>
                <w:szCs w:val="24"/>
              </w:rPr>
              <w:t>SWITCH*IFRS year + 2</w:t>
            </w:r>
          </w:p>
        </w:tc>
        <w:tc>
          <w:tcPr>
            <w:tcW w:w="2056" w:type="dxa"/>
            <w:tcBorders>
              <w:top w:val="nil"/>
              <w:left w:val="nil"/>
              <w:bottom w:val="nil"/>
              <w:right w:val="nil"/>
            </w:tcBorders>
          </w:tcPr>
          <w:p w14:paraId="1BF3BC75"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0.019</w:t>
            </w:r>
          </w:p>
        </w:tc>
        <w:tc>
          <w:tcPr>
            <w:tcW w:w="2006" w:type="dxa"/>
            <w:tcBorders>
              <w:top w:val="nil"/>
              <w:left w:val="nil"/>
              <w:bottom w:val="nil"/>
              <w:right w:val="nil"/>
            </w:tcBorders>
          </w:tcPr>
          <w:p w14:paraId="7091A2E0"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0.008</w:t>
            </w:r>
          </w:p>
        </w:tc>
        <w:tc>
          <w:tcPr>
            <w:tcW w:w="2467" w:type="dxa"/>
            <w:tcBorders>
              <w:top w:val="nil"/>
              <w:left w:val="nil"/>
              <w:bottom w:val="nil"/>
              <w:right w:val="nil"/>
            </w:tcBorders>
          </w:tcPr>
          <w:p w14:paraId="1E226B6E"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w:t>
            </w:r>
          </w:p>
        </w:tc>
      </w:tr>
      <w:tr w:rsidR="006E17B8" w:rsidRPr="003C71A0" w14:paraId="3AB88C4C" w14:textId="77777777" w:rsidTr="00480C6E">
        <w:trPr>
          <w:trHeight w:val="274"/>
          <w:jc w:val="center"/>
        </w:trPr>
        <w:tc>
          <w:tcPr>
            <w:tcW w:w="2685" w:type="dxa"/>
            <w:tcBorders>
              <w:top w:val="nil"/>
              <w:left w:val="nil"/>
              <w:bottom w:val="nil"/>
              <w:right w:val="nil"/>
            </w:tcBorders>
          </w:tcPr>
          <w:p w14:paraId="3329542B" w14:textId="77777777" w:rsidR="006E17B8" w:rsidRPr="003C71A0" w:rsidRDefault="006E17B8" w:rsidP="006E17B8">
            <w:pPr>
              <w:spacing w:after="0" w:line="240" w:lineRule="auto"/>
              <w:jc w:val="center"/>
              <w:rPr>
                <w:rFonts w:ascii="Times New Roman" w:hAnsi="Times New Roman"/>
                <w:color w:val="000000"/>
                <w:sz w:val="24"/>
                <w:szCs w:val="24"/>
              </w:rPr>
            </w:pPr>
          </w:p>
        </w:tc>
        <w:tc>
          <w:tcPr>
            <w:tcW w:w="2056" w:type="dxa"/>
            <w:tcBorders>
              <w:top w:val="nil"/>
              <w:left w:val="nil"/>
              <w:bottom w:val="nil"/>
              <w:right w:val="nil"/>
            </w:tcBorders>
          </w:tcPr>
          <w:p w14:paraId="538EBEFA"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(0.27)</w:t>
            </w:r>
          </w:p>
        </w:tc>
        <w:tc>
          <w:tcPr>
            <w:tcW w:w="2006" w:type="dxa"/>
            <w:tcBorders>
              <w:top w:val="nil"/>
              <w:left w:val="nil"/>
              <w:bottom w:val="nil"/>
              <w:right w:val="nil"/>
            </w:tcBorders>
          </w:tcPr>
          <w:p w14:paraId="26414FFE"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(1.37)</w:t>
            </w:r>
          </w:p>
        </w:tc>
        <w:tc>
          <w:tcPr>
            <w:tcW w:w="2467" w:type="dxa"/>
            <w:tcBorders>
              <w:top w:val="nil"/>
              <w:left w:val="nil"/>
              <w:bottom w:val="nil"/>
              <w:right w:val="nil"/>
            </w:tcBorders>
          </w:tcPr>
          <w:p w14:paraId="32A68E94"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(0.06)</w:t>
            </w:r>
          </w:p>
        </w:tc>
      </w:tr>
      <w:tr w:rsidR="006E17B8" w:rsidRPr="003C71A0" w14:paraId="7417521C" w14:textId="77777777" w:rsidTr="00480C6E">
        <w:trPr>
          <w:trHeight w:val="274"/>
          <w:jc w:val="center"/>
        </w:trPr>
        <w:tc>
          <w:tcPr>
            <w:tcW w:w="2685" w:type="dxa"/>
            <w:tcBorders>
              <w:top w:val="nil"/>
              <w:left w:val="nil"/>
              <w:bottom w:val="nil"/>
              <w:right w:val="nil"/>
            </w:tcBorders>
          </w:tcPr>
          <w:p w14:paraId="54EB12DB" w14:textId="77777777" w:rsidR="006E17B8" w:rsidRPr="003C71A0" w:rsidRDefault="006E17B8" w:rsidP="006E17B8">
            <w:pPr>
              <w:spacing w:after="0" w:line="240" w:lineRule="auto"/>
              <w:rPr>
                <w:rFonts w:ascii="Times New Roman" w:hAnsi="Times New Roman"/>
                <w:color w:val="000000"/>
                <w:sz w:val="24"/>
                <w:szCs w:val="24"/>
              </w:rPr>
            </w:pPr>
            <w:r>
              <w:rPr>
                <w:rFonts w:ascii="Times New Roman" w:hAnsi="Times New Roman" w:cs="Times New Roman"/>
                <w:sz w:val="24"/>
                <w:szCs w:val="24"/>
              </w:rPr>
              <w:t>SWITCH*IFRS year + 3</w:t>
            </w:r>
          </w:p>
        </w:tc>
        <w:tc>
          <w:tcPr>
            <w:tcW w:w="2056" w:type="dxa"/>
            <w:tcBorders>
              <w:top w:val="nil"/>
              <w:left w:val="nil"/>
              <w:bottom w:val="nil"/>
              <w:right w:val="nil"/>
            </w:tcBorders>
          </w:tcPr>
          <w:p w14:paraId="593F2DD4"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0.113*</w:t>
            </w:r>
          </w:p>
        </w:tc>
        <w:tc>
          <w:tcPr>
            <w:tcW w:w="2006" w:type="dxa"/>
            <w:tcBorders>
              <w:top w:val="nil"/>
              <w:left w:val="nil"/>
              <w:bottom w:val="nil"/>
              <w:right w:val="nil"/>
            </w:tcBorders>
          </w:tcPr>
          <w:p w14:paraId="67CE08C9"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0.013**</w:t>
            </w:r>
          </w:p>
        </w:tc>
        <w:tc>
          <w:tcPr>
            <w:tcW w:w="2467" w:type="dxa"/>
            <w:tcBorders>
              <w:top w:val="nil"/>
              <w:left w:val="nil"/>
              <w:bottom w:val="nil"/>
              <w:right w:val="nil"/>
            </w:tcBorders>
          </w:tcPr>
          <w:p w14:paraId="66340100"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0.009</w:t>
            </w:r>
          </w:p>
        </w:tc>
      </w:tr>
      <w:tr w:rsidR="006E17B8" w:rsidRPr="003C71A0" w14:paraId="38416066" w14:textId="77777777" w:rsidTr="00480C6E">
        <w:trPr>
          <w:trHeight w:val="274"/>
          <w:jc w:val="center"/>
        </w:trPr>
        <w:tc>
          <w:tcPr>
            <w:tcW w:w="2685" w:type="dxa"/>
            <w:tcBorders>
              <w:top w:val="nil"/>
              <w:left w:val="nil"/>
              <w:bottom w:val="nil"/>
              <w:right w:val="nil"/>
            </w:tcBorders>
          </w:tcPr>
          <w:p w14:paraId="3DB5F8B4" w14:textId="77777777" w:rsidR="006E17B8" w:rsidRPr="003C71A0" w:rsidRDefault="006E17B8" w:rsidP="006E17B8">
            <w:pPr>
              <w:spacing w:after="0" w:line="240" w:lineRule="auto"/>
              <w:jc w:val="center"/>
              <w:rPr>
                <w:rFonts w:ascii="Times New Roman" w:hAnsi="Times New Roman"/>
                <w:color w:val="000000"/>
                <w:sz w:val="24"/>
                <w:szCs w:val="24"/>
              </w:rPr>
            </w:pPr>
          </w:p>
        </w:tc>
        <w:tc>
          <w:tcPr>
            <w:tcW w:w="2056" w:type="dxa"/>
            <w:tcBorders>
              <w:top w:val="nil"/>
              <w:left w:val="nil"/>
              <w:bottom w:val="nil"/>
              <w:right w:val="nil"/>
            </w:tcBorders>
          </w:tcPr>
          <w:p w14:paraId="0912E70A"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(1.70)</w:t>
            </w:r>
          </w:p>
        </w:tc>
        <w:tc>
          <w:tcPr>
            <w:tcW w:w="2006" w:type="dxa"/>
            <w:tcBorders>
              <w:top w:val="nil"/>
              <w:left w:val="nil"/>
              <w:bottom w:val="nil"/>
              <w:right w:val="nil"/>
            </w:tcBorders>
          </w:tcPr>
          <w:p w14:paraId="35360F59"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2467" w:type="dxa"/>
            <w:tcBorders>
              <w:top w:val="nil"/>
              <w:left w:val="nil"/>
              <w:bottom w:val="nil"/>
              <w:right w:val="nil"/>
            </w:tcBorders>
          </w:tcPr>
          <w:p w14:paraId="75F7A351"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(0.63)</w:t>
            </w:r>
          </w:p>
        </w:tc>
      </w:tr>
      <w:tr w:rsidR="006E17B8" w:rsidRPr="003C71A0" w14:paraId="319B37DA" w14:textId="77777777" w:rsidTr="00480C6E">
        <w:trPr>
          <w:trHeight w:val="274"/>
          <w:jc w:val="center"/>
        </w:trPr>
        <w:tc>
          <w:tcPr>
            <w:tcW w:w="2685" w:type="dxa"/>
            <w:tcBorders>
              <w:top w:val="nil"/>
              <w:left w:val="nil"/>
              <w:bottom w:val="nil"/>
              <w:right w:val="nil"/>
            </w:tcBorders>
            <w:vAlign w:val="center"/>
          </w:tcPr>
          <w:p w14:paraId="3F1BFA34" w14:textId="77777777" w:rsidR="006E17B8" w:rsidRPr="003C71A0" w:rsidRDefault="006E17B8" w:rsidP="006E17B8">
            <w:pPr>
              <w:spacing w:after="0" w:line="240" w:lineRule="auto"/>
              <w:rPr>
                <w:rFonts w:ascii="Times New Roman" w:hAnsi="Times New Roman"/>
                <w:color w:val="000000"/>
                <w:sz w:val="24"/>
                <w:szCs w:val="24"/>
              </w:rPr>
            </w:pPr>
            <w:r w:rsidRPr="003C71A0">
              <w:rPr>
                <w:rFonts w:ascii="Times New Roman" w:hAnsi="Times New Roman"/>
                <w:color w:val="000000"/>
                <w:sz w:val="24"/>
                <w:szCs w:val="24"/>
              </w:rPr>
              <w:t>MVE</w:t>
            </w:r>
          </w:p>
        </w:tc>
        <w:tc>
          <w:tcPr>
            <w:tcW w:w="2056" w:type="dxa"/>
            <w:tcBorders>
              <w:top w:val="nil"/>
              <w:left w:val="nil"/>
              <w:bottom w:val="nil"/>
              <w:right w:val="nil"/>
            </w:tcBorders>
          </w:tcPr>
          <w:p w14:paraId="2F5A6BDE"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0.064***</w:t>
            </w:r>
          </w:p>
        </w:tc>
        <w:tc>
          <w:tcPr>
            <w:tcW w:w="2006" w:type="dxa"/>
            <w:tcBorders>
              <w:top w:val="nil"/>
              <w:left w:val="nil"/>
              <w:bottom w:val="nil"/>
              <w:right w:val="nil"/>
            </w:tcBorders>
          </w:tcPr>
          <w:p w14:paraId="3AE8E85C"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0.008***</w:t>
            </w:r>
          </w:p>
        </w:tc>
        <w:tc>
          <w:tcPr>
            <w:tcW w:w="2467" w:type="dxa"/>
            <w:tcBorders>
              <w:top w:val="nil"/>
              <w:left w:val="nil"/>
              <w:bottom w:val="nil"/>
              <w:right w:val="nil"/>
            </w:tcBorders>
          </w:tcPr>
          <w:p w14:paraId="1426DA8E"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0.023***</w:t>
            </w:r>
          </w:p>
        </w:tc>
      </w:tr>
      <w:tr w:rsidR="006E17B8" w:rsidRPr="003C71A0" w14:paraId="29820F59" w14:textId="77777777" w:rsidTr="00480C6E">
        <w:trPr>
          <w:trHeight w:val="274"/>
          <w:jc w:val="center"/>
        </w:trPr>
        <w:tc>
          <w:tcPr>
            <w:tcW w:w="2685" w:type="dxa"/>
            <w:tcBorders>
              <w:top w:val="nil"/>
              <w:left w:val="nil"/>
              <w:bottom w:val="nil"/>
              <w:right w:val="nil"/>
            </w:tcBorders>
            <w:vAlign w:val="center"/>
          </w:tcPr>
          <w:p w14:paraId="2ABA7DDD" w14:textId="77777777" w:rsidR="006E17B8" w:rsidRPr="003C71A0" w:rsidRDefault="006E17B8" w:rsidP="006E17B8">
            <w:pPr>
              <w:spacing w:after="0" w:line="240" w:lineRule="auto"/>
              <w:rPr>
                <w:rFonts w:ascii="Times New Roman" w:hAnsi="Times New Roman"/>
                <w:color w:val="000000"/>
                <w:sz w:val="24"/>
                <w:szCs w:val="24"/>
              </w:rPr>
            </w:pPr>
          </w:p>
        </w:tc>
        <w:tc>
          <w:tcPr>
            <w:tcW w:w="2056" w:type="dxa"/>
            <w:tcBorders>
              <w:top w:val="nil"/>
              <w:left w:val="nil"/>
              <w:bottom w:val="nil"/>
              <w:right w:val="nil"/>
            </w:tcBorders>
          </w:tcPr>
          <w:p w14:paraId="4F7B4EB1"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(2.80)</w:t>
            </w:r>
          </w:p>
        </w:tc>
        <w:tc>
          <w:tcPr>
            <w:tcW w:w="2006" w:type="dxa"/>
            <w:tcBorders>
              <w:top w:val="nil"/>
              <w:left w:val="nil"/>
              <w:bottom w:val="nil"/>
              <w:right w:val="nil"/>
            </w:tcBorders>
          </w:tcPr>
          <w:p w14:paraId="4886BA1C"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(2.71)</w:t>
            </w:r>
          </w:p>
        </w:tc>
        <w:tc>
          <w:tcPr>
            <w:tcW w:w="2467" w:type="dxa"/>
            <w:tcBorders>
              <w:top w:val="nil"/>
              <w:left w:val="nil"/>
              <w:bottom w:val="nil"/>
              <w:right w:val="nil"/>
            </w:tcBorders>
          </w:tcPr>
          <w:p w14:paraId="739EADE5"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(2.62)</w:t>
            </w:r>
          </w:p>
        </w:tc>
      </w:tr>
      <w:tr w:rsidR="006E17B8" w:rsidRPr="003C71A0" w14:paraId="293F89CE" w14:textId="77777777" w:rsidTr="00480C6E">
        <w:trPr>
          <w:trHeight w:val="274"/>
          <w:jc w:val="center"/>
        </w:trPr>
        <w:tc>
          <w:tcPr>
            <w:tcW w:w="2685" w:type="dxa"/>
            <w:tcBorders>
              <w:top w:val="nil"/>
              <w:left w:val="nil"/>
              <w:bottom w:val="nil"/>
              <w:right w:val="nil"/>
            </w:tcBorders>
          </w:tcPr>
          <w:p w14:paraId="7D938532" w14:textId="53597806" w:rsidR="006E17B8" w:rsidRPr="003C71A0" w:rsidRDefault="006E17B8" w:rsidP="006E17B8">
            <w:pPr>
              <w:spacing w:after="0" w:line="240" w:lineRule="auto"/>
              <w:rPr>
                <w:rFonts w:ascii="Times New Roman" w:hAnsi="Times New Roman"/>
                <w:color w:val="000000"/>
                <w:sz w:val="24"/>
                <w:szCs w:val="24"/>
              </w:rPr>
            </w:pPr>
            <w:r>
              <w:rPr>
                <w:rFonts w:ascii="Times New Roman" w:hAnsi="Times New Roman"/>
                <w:color w:val="000000"/>
                <w:sz w:val="24"/>
                <w:szCs w:val="24"/>
              </w:rPr>
              <w:t>TOBIN</w:t>
            </w:r>
            <w:r w:rsidR="004E3FB1">
              <w:rPr>
                <w:rFonts w:ascii="Times New Roman" w:hAnsi="Times New Roman"/>
                <w:color w:val="000000"/>
                <w:sz w:val="24"/>
                <w:szCs w:val="24"/>
              </w:rPr>
              <w:t>’s</w:t>
            </w:r>
            <w:r>
              <w:rPr>
                <w:rFonts w:ascii="Times New Roman" w:hAnsi="Times New Roman"/>
                <w:color w:val="000000"/>
                <w:sz w:val="24"/>
                <w:szCs w:val="24"/>
              </w:rPr>
              <w:t xml:space="preserve"> Q</w:t>
            </w:r>
          </w:p>
        </w:tc>
        <w:tc>
          <w:tcPr>
            <w:tcW w:w="2056" w:type="dxa"/>
            <w:tcBorders>
              <w:top w:val="nil"/>
              <w:left w:val="nil"/>
              <w:bottom w:val="nil"/>
              <w:right w:val="nil"/>
            </w:tcBorders>
          </w:tcPr>
          <w:p w14:paraId="1F69D464"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-0.005</w:t>
            </w:r>
          </w:p>
        </w:tc>
        <w:tc>
          <w:tcPr>
            <w:tcW w:w="2006" w:type="dxa"/>
            <w:tcBorders>
              <w:top w:val="nil"/>
              <w:left w:val="nil"/>
              <w:bottom w:val="nil"/>
              <w:right w:val="nil"/>
            </w:tcBorders>
          </w:tcPr>
          <w:p w14:paraId="3A05B24E"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w:t>
            </w:r>
          </w:p>
        </w:tc>
        <w:tc>
          <w:tcPr>
            <w:tcW w:w="2467" w:type="dxa"/>
            <w:tcBorders>
              <w:top w:val="nil"/>
              <w:left w:val="nil"/>
              <w:bottom w:val="nil"/>
              <w:right w:val="nil"/>
            </w:tcBorders>
          </w:tcPr>
          <w:p w14:paraId="07963A19"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w:t>
            </w:r>
          </w:p>
        </w:tc>
      </w:tr>
      <w:tr w:rsidR="006E17B8" w:rsidRPr="003C71A0" w14:paraId="66B0BC95" w14:textId="77777777" w:rsidTr="00480C6E">
        <w:trPr>
          <w:trHeight w:val="274"/>
          <w:jc w:val="center"/>
        </w:trPr>
        <w:tc>
          <w:tcPr>
            <w:tcW w:w="2685" w:type="dxa"/>
            <w:tcBorders>
              <w:top w:val="nil"/>
              <w:left w:val="nil"/>
              <w:bottom w:val="nil"/>
              <w:right w:val="nil"/>
            </w:tcBorders>
          </w:tcPr>
          <w:p w14:paraId="05966A92" w14:textId="77777777" w:rsidR="006E17B8" w:rsidRPr="003C71A0" w:rsidRDefault="006E17B8" w:rsidP="006E17B8">
            <w:pPr>
              <w:spacing w:after="0" w:line="240" w:lineRule="auto"/>
              <w:rPr>
                <w:rFonts w:ascii="Times New Roman" w:hAnsi="Times New Roman"/>
                <w:color w:val="000000"/>
                <w:sz w:val="24"/>
                <w:szCs w:val="24"/>
              </w:rPr>
            </w:pPr>
          </w:p>
        </w:tc>
        <w:tc>
          <w:tcPr>
            <w:tcW w:w="2056" w:type="dxa"/>
            <w:tcBorders>
              <w:top w:val="nil"/>
              <w:left w:val="nil"/>
              <w:bottom w:val="nil"/>
              <w:right w:val="nil"/>
            </w:tcBorders>
          </w:tcPr>
          <w:p w14:paraId="7683287F"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(-1.12)</w:t>
            </w:r>
          </w:p>
        </w:tc>
        <w:tc>
          <w:tcPr>
            <w:tcW w:w="2006" w:type="dxa"/>
            <w:tcBorders>
              <w:top w:val="nil"/>
              <w:left w:val="nil"/>
              <w:bottom w:val="nil"/>
              <w:right w:val="nil"/>
            </w:tcBorders>
          </w:tcPr>
          <w:p w14:paraId="20B57897"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2467" w:type="dxa"/>
            <w:tcBorders>
              <w:top w:val="nil"/>
              <w:left w:val="nil"/>
              <w:bottom w:val="nil"/>
              <w:right w:val="nil"/>
            </w:tcBorders>
          </w:tcPr>
          <w:p w14:paraId="6CDFF46C"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(0.56)</w:t>
            </w:r>
          </w:p>
        </w:tc>
      </w:tr>
      <w:tr w:rsidR="006E17B8" w:rsidRPr="003C71A0" w14:paraId="3BE1EBF7" w14:textId="77777777" w:rsidTr="00480C6E">
        <w:trPr>
          <w:trHeight w:val="274"/>
          <w:jc w:val="center"/>
        </w:trPr>
        <w:tc>
          <w:tcPr>
            <w:tcW w:w="2685" w:type="dxa"/>
            <w:tcBorders>
              <w:top w:val="nil"/>
              <w:left w:val="nil"/>
              <w:bottom w:val="nil"/>
              <w:right w:val="nil"/>
            </w:tcBorders>
          </w:tcPr>
          <w:p w14:paraId="253F88F5" w14:textId="77777777" w:rsidR="006E17B8" w:rsidRPr="003C71A0" w:rsidRDefault="006E17B8" w:rsidP="006E17B8">
            <w:pPr>
              <w:spacing w:after="0" w:line="240" w:lineRule="auto"/>
              <w:rPr>
                <w:rFonts w:ascii="Times New Roman" w:hAnsi="Times New Roman"/>
                <w:color w:val="000000"/>
                <w:sz w:val="24"/>
                <w:szCs w:val="24"/>
              </w:rPr>
            </w:pPr>
            <w:r>
              <w:rPr>
                <w:rFonts w:ascii="Times New Roman" w:hAnsi="Times New Roman" w:cs="Times New Roman"/>
                <w:sz w:val="24"/>
                <w:szCs w:val="24"/>
              </w:rPr>
              <w:t>GROWTH</w:t>
            </w:r>
          </w:p>
        </w:tc>
        <w:tc>
          <w:tcPr>
            <w:tcW w:w="2056" w:type="dxa"/>
            <w:tcBorders>
              <w:top w:val="nil"/>
              <w:left w:val="nil"/>
              <w:bottom w:val="nil"/>
              <w:right w:val="nil"/>
            </w:tcBorders>
          </w:tcPr>
          <w:p w14:paraId="1175D6E7"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0.302***</w:t>
            </w:r>
          </w:p>
        </w:tc>
        <w:tc>
          <w:tcPr>
            <w:tcW w:w="2006" w:type="dxa"/>
            <w:tcBorders>
              <w:top w:val="nil"/>
              <w:left w:val="nil"/>
              <w:bottom w:val="nil"/>
              <w:right w:val="nil"/>
            </w:tcBorders>
          </w:tcPr>
          <w:p w14:paraId="70C222B9"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0.022***</w:t>
            </w:r>
          </w:p>
        </w:tc>
        <w:tc>
          <w:tcPr>
            <w:tcW w:w="2467" w:type="dxa"/>
            <w:tcBorders>
              <w:top w:val="nil"/>
              <w:left w:val="nil"/>
              <w:bottom w:val="nil"/>
              <w:right w:val="nil"/>
            </w:tcBorders>
          </w:tcPr>
          <w:p w14:paraId="62BB05FF"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0.011</w:t>
            </w:r>
          </w:p>
        </w:tc>
      </w:tr>
      <w:tr w:rsidR="006E17B8" w:rsidRPr="003C71A0" w14:paraId="01E7E1DB" w14:textId="77777777" w:rsidTr="00480C6E">
        <w:trPr>
          <w:trHeight w:val="274"/>
          <w:jc w:val="center"/>
        </w:trPr>
        <w:tc>
          <w:tcPr>
            <w:tcW w:w="2685" w:type="dxa"/>
            <w:tcBorders>
              <w:top w:val="nil"/>
              <w:left w:val="nil"/>
              <w:bottom w:val="nil"/>
              <w:right w:val="nil"/>
            </w:tcBorders>
          </w:tcPr>
          <w:p w14:paraId="652644E2" w14:textId="77777777" w:rsidR="006E17B8" w:rsidRPr="003C71A0" w:rsidRDefault="006E17B8" w:rsidP="006E17B8">
            <w:pPr>
              <w:spacing w:after="0" w:line="240" w:lineRule="auto"/>
              <w:rPr>
                <w:rFonts w:ascii="Times New Roman" w:hAnsi="Times New Roman"/>
                <w:color w:val="000000"/>
                <w:sz w:val="24"/>
                <w:szCs w:val="24"/>
              </w:rPr>
            </w:pPr>
          </w:p>
        </w:tc>
        <w:tc>
          <w:tcPr>
            <w:tcW w:w="2056" w:type="dxa"/>
            <w:tcBorders>
              <w:top w:val="nil"/>
              <w:left w:val="nil"/>
              <w:bottom w:val="nil"/>
              <w:right w:val="nil"/>
            </w:tcBorders>
          </w:tcPr>
          <w:p w14:paraId="082D905C"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(5.22)</w:t>
            </w:r>
          </w:p>
        </w:tc>
        <w:tc>
          <w:tcPr>
            <w:tcW w:w="2006" w:type="dxa"/>
            <w:tcBorders>
              <w:top w:val="nil"/>
              <w:left w:val="nil"/>
              <w:bottom w:val="nil"/>
              <w:right w:val="nil"/>
            </w:tcBorders>
          </w:tcPr>
          <w:p w14:paraId="5707CF5F"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(2.71)</w:t>
            </w:r>
          </w:p>
        </w:tc>
        <w:tc>
          <w:tcPr>
            <w:tcW w:w="2467" w:type="dxa"/>
            <w:tcBorders>
              <w:top w:val="nil"/>
              <w:left w:val="nil"/>
              <w:bottom w:val="nil"/>
              <w:right w:val="nil"/>
            </w:tcBorders>
          </w:tcPr>
          <w:p w14:paraId="61AB40F5"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(0.44)</w:t>
            </w:r>
          </w:p>
        </w:tc>
      </w:tr>
      <w:tr w:rsidR="006E17B8" w:rsidRPr="003C71A0" w14:paraId="1A453D2C" w14:textId="77777777" w:rsidTr="00480C6E">
        <w:trPr>
          <w:trHeight w:val="274"/>
          <w:jc w:val="center"/>
        </w:trPr>
        <w:tc>
          <w:tcPr>
            <w:tcW w:w="2685" w:type="dxa"/>
            <w:tcBorders>
              <w:top w:val="nil"/>
              <w:left w:val="nil"/>
              <w:bottom w:val="nil"/>
              <w:right w:val="nil"/>
            </w:tcBorders>
          </w:tcPr>
          <w:p w14:paraId="37D042C9" w14:textId="77777777" w:rsidR="006E17B8" w:rsidRPr="003C71A0" w:rsidRDefault="006E17B8" w:rsidP="006E17B8">
            <w:pPr>
              <w:spacing w:after="0" w:line="240" w:lineRule="auto"/>
              <w:rPr>
                <w:rFonts w:ascii="Times New Roman" w:hAnsi="Times New Roman"/>
                <w:color w:val="000000"/>
                <w:sz w:val="24"/>
                <w:szCs w:val="24"/>
              </w:rPr>
            </w:pPr>
            <w:r>
              <w:rPr>
                <w:rFonts w:ascii="Times New Roman" w:hAnsi="Times New Roman" w:cs="Times New Roman"/>
                <w:sz w:val="24"/>
                <w:szCs w:val="24"/>
              </w:rPr>
              <w:t>LEVERAGE</w:t>
            </w:r>
          </w:p>
        </w:tc>
        <w:tc>
          <w:tcPr>
            <w:tcW w:w="2056" w:type="dxa"/>
            <w:tcBorders>
              <w:top w:val="nil"/>
              <w:left w:val="nil"/>
              <w:bottom w:val="nil"/>
              <w:right w:val="nil"/>
            </w:tcBorders>
          </w:tcPr>
          <w:p w14:paraId="4B9EE3A6"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-0.602**</w:t>
            </w:r>
          </w:p>
        </w:tc>
        <w:tc>
          <w:tcPr>
            <w:tcW w:w="2006" w:type="dxa"/>
            <w:tcBorders>
              <w:top w:val="nil"/>
              <w:left w:val="nil"/>
              <w:bottom w:val="nil"/>
              <w:right w:val="nil"/>
            </w:tcBorders>
          </w:tcPr>
          <w:p w14:paraId="299044DA"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-0.100**</w:t>
            </w:r>
          </w:p>
        </w:tc>
        <w:tc>
          <w:tcPr>
            <w:tcW w:w="2467" w:type="dxa"/>
            <w:tcBorders>
              <w:top w:val="nil"/>
              <w:left w:val="nil"/>
              <w:bottom w:val="nil"/>
              <w:right w:val="nil"/>
            </w:tcBorders>
          </w:tcPr>
          <w:p w14:paraId="1EAE281A"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-0.073</w:t>
            </w:r>
          </w:p>
        </w:tc>
      </w:tr>
      <w:tr w:rsidR="006E17B8" w:rsidRPr="003C71A0" w14:paraId="3B161B00" w14:textId="77777777" w:rsidTr="00480C6E">
        <w:trPr>
          <w:trHeight w:val="274"/>
          <w:jc w:val="center"/>
        </w:trPr>
        <w:tc>
          <w:tcPr>
            <w:tcW w:w="2685" w:type="dxa"/>
            <w:tcBorders>
              <w:top w:val="nil"/>
              <w:left w:val="nil"/>
              <w:bottom w:val="nil"/>
              <w:right w:val="nil"/>
            </w:tcBorders>
          </w:tcPr>
          <w:p w14:paraId="6D487EA6" w14:textId="77777777" w:rsidR="006E17B8" w:rsidRPr="003C71A0" w:rsidRDefault="006E17B8" w:rsidP="006E17B8">
            <w:pPr>
              <w:spacing w:after="0" w:line="240" w:lineRule="auto"/>
              <w:rPr>
                <w:rFonts w:ascii="Times New Roman" w:hAnsi="Times New Roman"/>
                <w:color w:val="000000"/>
                <w:sz w:val="24"/>
                <w:szCs w:val="24"/>
              </w:rPr>
            </w:pPr>
          </w:p>
        </w:tc>
        <w:tc>
          <w:tcPr>
            <w:tcW w:w="2056" w:type="dxa"/>
            <w:tcBorders>
              <w:top w:val="nil"/>
              <w:left w:val="nil"/>
              <w:bottom w:val="nil"/>
              <w:right w:val="nil"/>
            </w:tcBorders>
          </w:tcPr>
          <w:p w14:paraId="112F92F4"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(-2.48)</w:t>
            </w:r>
          </w:p>
        </w:tc>
        <w:tc>
          <w:tcPr>
            <w:tcW w:w="2006" w:type="dxa"/>
            <w:tcBorders>
              <w:top w:val="nil"/>
              <w:left w:val="nil"/>
              <w:bottom w:val="nil"/>
              <w:right w:val="nil"/>
            </w:tcBorders>
          </w:tcPr>
          <w:p w14:paraId="69255CCD"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(-2.17)</w:t>
            </w:r>
          </w:p>
        </w:tc>
        <w:tc>
          <w:tcPr>
            <w:tcW w:w="2467" w:type="dxa"/>
            <w:tcBorders>
              <w:top w:val="nil"/>
              <w:left w:val="nil"/>
              <w:bottom w:val="nil"/>
              <w:right w:val="nil"/>
            </w:tcBorders>
          </w:tcPr>
          <w:p w14:paraId="59660D39"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(-0.81)</w:t>
            </w:r>
          </w:p>
        </w:tc>
      </w:tr>
      <w:tr w:rsidR="006E17B8" w:rsidRPr="003C71A0" w14:paraId="521B3CCB" w14:textId="77777777" w:rsidTr="00480C6E">
        <w:trPr>
          <w:trHeight w:val="274"/>
          <w:jc w:val="center"/>
        </w:trPr>
        <w:tc>
          <w:tcPr>
            <w:tcW w:w="2685" w:type="dxa"/>
            <w:tcBorders>
              <w:top w:val="nil"/>
              <w:left w:val="nil"/>
              <w:bottom w:val="nil"/>
              <w:right w:val="nil"/>
            </w:tcBorders>
          </w:tcPr>
          <w:p w14:paraId="5A1699ED" w14:textId="77777777" w:rsidR="006E17B8" w:rsidRPr="003C71A0" w:rsidRDefault="006E17B8" w:rsidP="006E17B8">
            <w:pPr>
              <w:spacing w:after="0" w:line="240" w:lineRule="auto"/>
              <w:rPr>
                <w:rFonts w:ascii="Times New Roman" w:hAnsi="Times New Roman"/>
                <w:color w:val="000000"/>
                <w:sz w:val="24"/>
                <w:szCs w:val="24"/>
              </w:rPr>
            </w:pPr>
            <w:r>
              <w:rPr>
                <w:rFonts w:ascii="Times New Roman" w:hAnsi="Times New Roman" w:cs="Times New Roman"/>
                <w:sz w:val="24"/>
                <w:szCs w:val="24"/>
              </w:rPr>
              <w:t>CFO</w:t>
            </w:r>
          </w:p>
        </w:tc>
        <w:tc>
          <w:tcPr>
            <w:tcW w:w="2056" w:type="dxa"/>
            <w:tcBorders>
              <w:top w:val="nil"/>
              <w:left w:val="nil"/>
              <w:bottom w:val="nil"/>
              <w:right w:val="nil"/>
            </w:tcBorders>
          </w:tcPr>
          <w:p w14:paraId="301C0B84"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0.779*</w:t>
            </w:r>
          </w:p>
        </w:tc>
        <w:tc>
          <w:tcPr>
            <w:tcW w:w="2006" w:type="dxa"/>
            <w:tcBorders>
              <w:top w:val="nil"/>
              <w:left w:val="nil"/>
              <w:bottom w:val="nil"/>
              <w:right w:val="nil"/>
            </w:tcBorders>
          </w:tcPr>
          <w:p w14:paraId="3EF28871"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0.182**</w:t>
            </w:r>
          </w:p>
        </w:tc>
        <w:tc>
          <w:tcPr>
            <w:tcW w:w="2467" w:type="dxa"/>
            <w:tcBorders>
              <w:top w:val="nil"/>
              <w:left w:val="nil"/>
              <w:bottom w:val="nil"/>
              <w:right w:val="nil"/>
            </w:tcBorders>
          </w:tcPr>
          <w:p w14:paraId="79692772"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0.144</w:t>
            </w:r>
          </w:p>
        </w:tc>
      </w:tr>
      <w:tr w:rsidR="006E17B8" w:rsidRPr="003C71A0" w14:paraId="5D9C4ED4" w14:textId="77777777" w:rsidTr="00480C6E">
        <w:trPr>
          <w:trHeight w:val="274"/>
          <w:jc w:val="center"/>
        </w:trPr>
        <w:tc>
          <w:tcPr>
            <w:tcW w:w="2685" w:type="dxa"/>
            <w:tcBorders>
              <w:top w:val="nil"/>
              <w:left w:val="nil"/>
              <w:bottom w:val="nil"/>
              <w:right w:val="nil"/>
            </w:tcBorders>
          </w:tcPr>
          <w:p w14:paraId="79F825AA" w14:textId="77777777" w:rsidR="006E17B8" w:rsidRPr="003C71A0" w:rsidRDefault="006E17B8" w:rsidP="006E17B8">
            <w:pPr>
              <w:spacing w:after="0" w:line="240" w:lineRule="auto"/>
              <w:rPr>
                <w:rFonts w:ascii="Times New Roman" w:hAnsi="Times New Roman"/>
                <w:color w:val="000000"/>
                <w:sz w:val="24"/>
                <w:szCs w:val="24"/>
              </w:rPr>
            </w:pPr>
          </w:p>
        </w:tc>
        <w:tc>
          <w:tcPr>
            <w:tcW w:w="2056" w:type="dxa"/>
            <w:tcBorders>
              <w:top w:val="nil"/>
              <w:left w:val="nil"/>
              <w:bottom w:val="nil"/>
              <w:right w:val="nil"/>
            </w:tcBorders>
          </w:tcPr>
          <w:p w14:paraId="3FC9D681"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(1.79)</w:t>
            </w:r>
          </w:p>
        </w:tc>
        <w:tc>
          <w:tcPr>
            <w:tcW w:w="2006" w:type="dxa"/>
            <w:tcBorders>
              <w:top w:val="nil"/>
              <w:left w:val="nil"/>
              <w:bottom w:val="nil"/>
              <w:right w:val="nil"/>
            </w:tcBorders>
          </w:tcPr>
          <w:p w14:paraId="3D36F47F"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(2.52)</w:t>
            </w:r>
          </w:p>
        </w:tc>
        <w:tc>
          <w:tcPr>
            <w:tcW w:w="2467" w:type="dxa"/>
            <w:tcBorders>
              <w:top w:val="nil"/>
              <w:left w:val="nil"/>
              <w:bottom w:val="nil"/>
              <w:right w:val="nil"/>
            </w:tcBorders>
          </w:tcPr>
          <w:p w14:paraId="004E799E"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(1.18)</w:t>
            </w:r>
          </w:p>
        </w:tc>
      </w:tr>
      <w:tr w:rsidR="006E17B8" w:rsidRPr="003C71A0" w14:paraId="78178B1A" w14:textId="77777777" w:rsidTr="00480C6E">
        <w:trPr>
          <w:trHeight w:val="274"/>
          <w:jc w:val="center"/>
        </w:trPr>
        <w:tc>
          <w:tcPr>
            <w:tcW w:w="2685" w:type="dxa"/>
            <w:tcBorders>
              <w:top w:val="nil"/>
              <w:left w:val="nil"/>
              <w:bottom w:val="nil"/>
              <w:right w:val="nil"/>
            </w:tcBorders>
          </w:tcPr>
          <w:p w14:paraId="50891034" w14:textId="77777777" w:rsidR="006E17B8" w:rsidRDefault="006E17B8" w:rsidP="006E17B8">
            <w:pPr>
              <w:spacing w:after="0" w:line="240" w:lineRule="auto"/>
              <w:rPr>
                <w:rFonts w:ascii="Times New Roman" w:hAnsi="Times New Roman" w:cs="Times New Roman"/>
                <w:sz w:val="24"/>
                <w:szCs w:val="24"/>
              </w:rPr>
            </w:pPr>
            <w:r>
              <w:rPr>
                <w:rFonts w:ascii="Times New Roman" w:hAnsi="Times New Roman" w:cs="Times New Roman"/>
                <w:sz w:val="24"/>
                <w:szCs w:val="24"/>
              </w:rPr>
              <w:t>CASHEQ</w:t>
            </w:r>
          </w:p>
        </w:tc>
        <w:tc>
          <w:tcPr>
            <w:tcW w:w="2056" w:type="dxa"/>
            <w:tcBorders>
              <w:top w:val="nil"/>
              <w:left w:val="nil"/>
              <w:bottom w:val="nil"/>
              <w:right w:val="nil"/>
            </w:tcBorders>
          </w:tcPr>
          <w:p w14:paraId="353F866A"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-1.107***</w:t>
            </w:r>
          </w:p>
        </w:tc>
        <w:tc>
          <w:tcPr>
            <w:tcW w:w="2006" w:type="dxa"/>
            <w:tcBorders>
              <w:top w:val="nil"/>
              <w:left w:val="nil"/>
              <w:bottom w:val="nil"/>
              <w:right w:val="nil"/>
            </w:tcBorders>
          </w:tcPr>
          <w:p w14:paraId="61145D15"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-0.134***</w:t>
            </w:r>
          </w:p>
        </w:tc>
        <w:tc>
          <w:tcPr>
            <w:tcW w:w="2467" w:type="dxa"/>
            <w:tcBorders>
              <w:top w:val="nil"/>
              <w:left w:val="nil"/>
              <w:bottom w:val="nil"/>
              <w:right w:val="nil"/>
            </w:tcBorders>
          </w:tcPr>
          <w:p w14:paraId="6543E0E5"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-0.311**</w:t>
            </w:r>
          </w:p>
        </w:tc>
      </w:tr>
      <w:tr w:rsidR="006E17B8" w:rsidRPr="003C71A0" w14:paraId="28641E86" w14:textId="77777777" w:rsidTr="00480C6E">
        <w:trPr>
          <w:trHeight w:val="274"/>
          <w:jc w:val="center"/>
        </w:trPr>
        <w:tc>
          <w:tcPr>
            <w:tcW w:w="2685" w:type="dxa"/>
            <w:tcBorders>
              <w:top w:val="nil"/>
              <w:left w:val="nil"/>
              <w:bottom w:val="nil"/>
              <w:right w:val="nil"/>
            </w:tcBorders>
          </w:tcPr>
          <w:p w14:paraId="3A406373" w14:textId="77777777" w:rsidR="006E17B8" w:rsidRDefault="006E17B8" w:rsidP="006E17B8">
            <w:pPr>
              <w:spacing w:after="0" w:line="240" w:lineRule="auto"/>
              <w:rPr>
                <w:rFonts w:ascii="Times New Roman" w:hAnsi="Times New Roman" w:cs="Times New Roman"/>
                <w:sz w:val="24"/>
                <w:szCs w:val="24"/>
              </w:rPr>
            </w:pPr>
          </w:p>
        </w:tc>
        <w:tc>
          <w:tcPr>
            <w:tcW w:w="2056" w:type="dxa"/>
            <w:tcBorders>
              <w:top w:val="nil"/>
              <w:left w:val="nil"/>
              <w:bottom w:val="nil"/>
              <w:right w:val="nil"/>
            </w:tcBorders>
          </w:tcPr>
          <w:p w14:paraId="5334081F"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(-3.04)</w:t>
            </w:r>
          </w:p>
        </w:tc>
        <w:tc>
          <w:tcPr>
            <w:tcW w:w="2006" w:type="dxa"/>
            <w:tcBorders>
              <w:top w:val="nil"/>
              <w:left w:val="nil"/>
              <w:bottom w:val="nil"/>
              <w:right w:val="nil"/>
            </w:tcBorders>
          </w:tcPr>
          <w:p w14:paraId="0E2862D5"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(-2.92)</w:t>
            </w:r>
          </w:p>
        </w:tc>
        <w:tc>
          <w:tcPr>
            <w:tcW w:w="2467" w:type="dxa"/>
            <w:tcBorders>
              <w:top w:val="nil"/>
              <w:left w:val="nil"/>
              <w:bottom w:val="nil"/>
              <w:right w:val="nil"/>
            </w:tcBorders>
          </w:tcPr>
          <w:p w14:paraId="3E64497D"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(-2.47)</w:t>
            </w:r>
          </w:p>
        </w:tc>
      </w:tr>
      <w:tr w:rsidR="006E17B8" w:rsidRPr="003C71A0" w14:paraId="7B9427EB" w14:textId="77777777" w:rsidTr="00480C6E">
        <w:trPr>
          <w:trHeight w:val="274"/>
          <w:jc w:val="center"/>
        </w:trPr>
        <w:tc>
          <w:tcPr>
            <w:tcW w:w="2685" w:type="dxa"/>
            <w:tcBorders>
              <w:top w:val="nil"/>
              <w:left w:val="nil"/>
              <w:bottom w:val="nil"/>
              <w:right w:val="nil"/>
            </w:tcBorders>
          </w:tcPr>
          <w:p w14:paraId="23F3B38D" w14:textId="77777777" w:rsidR="006E17B8" w:rsidRDefault="006E17B8" w:rsidP="006E17B8">
            <w:pPr>
              <w:spacing w:after="0" w:line="240" w:lineRule="auto"/>
              <w:rPr>
                <w:rFonts w:ascii="Times New Roman" w:hAnsi="Times New Roman" w:cs="Times New Roman"/>
                <w:sz w:val="24"/>
                <w:szCs w:val="24"/>
              </w:rPr>
            </w:pPr>
          </w:p>
        </w:tc>
        <w:tc>
          <w:tcPr>
            <w:tcW w:w="2056" w:type="dxa"/>
            <w:tcBorders>
              <w:top w:val="nil"/>
              <w:left w:val="nil"/>
              <w:bottom w:val="nil"/>
              <w:right w:val="nil"/>
            </w:tcBorders>
          </w:tcPr>
          <w:p w14:paraId="573BFCE4" w14:textId="77777777" w:rsidR="006E17B8" w:rsidRDefault="006E17B8" w:rsidP="006E17B8">
            <w:pPr>
              <w:spacing w:after="0" w:line="240" w:lineRule="auto"/>
              <w:jc w:val="center"/>
              <w:rPr>
                <w:rFonts w:ascii="Times New Roman" w:hAnsi="Times New Roman" w:cs="Times New Roman"/>
                <w:sz w:val="24"/>
                <w:szCs w:val="24"/>
              </w:rPr>
            </w:pPr>
          </w:p>
        </w:tc>
        <w:tc>
          <w:tcPr>
            <w:tcW w:w="2006" w:type="dxa"/>
            <w:tcBorders>
              <w:top w:val="nil"/>
              <w:left w:val="nil"/>
              <w:bottom w:val="nil"/>
              <w:right w:val="nil"/>
            </w:tcBorders>
          </w:tcPr>
          <w:p w14:paraId="33619A69" w14:textId="77777777" w:rsidR="006E17B8" w:rsidRDefault="006E17B8" w:rsidP="006E17B8">
            <w:pPr>
              <w:spacing w:after="0" w:line="240" w:lineRule="auto"/>
              <w:jc w:val="center"/>
              <w:rPr>
                <w:rFonts w:ascii="Times New Roman" w:hAnsi="Times New Roman" w:cs="Times New Roman"/>
                <w:sz w:val="24"/>
                <w:szCs w:val="24"/>
              </w:rPr>
            </w:pPr>
          </w:p>
        </w:tc>
        <w:tc>
          <w:tcPr>
            <w:tcW w:w="2467" w:type="dxa"/>
            <w:tcBorders>
              <w:top w:val="nil"/>
              <w:left w:val="nil"/>
              <w:bottom w:val="nil"/>
              <w:right w:val="nil"/>
            </w:tcBorders>
          </w:tcPr>
          <w:p w14:paraId="426D70FB" w14:textId="77777777" w:rsidR="006E17B8" w:rsidRDefault="006E17B8" w:rsidP="006E17B8">
            <w:pPr>
              <w:spacing w:after="0" w:line="240" w:lineRule="auto"/>
              <w:jc w:val="center"/>
              <w:rPr>
                <w:rFonts w:ascii="Times New Roman" w:hAnsi="Times New Roman" w:cs="Times New Roman"/>
                <w:sz w:val="24"/>
                <w:szCs w:val="24"/>
              </w:rPr>
            </w:pPr>
          </w:p>
        </w:tc>
      </w:tr>
      <w:tr w:rsidR="006E17B8" w:rsidRPr="003C71A0" w14:paraId="77EAAABB" w14:textId="77777777" w:rsidTr="00480C6E">
        <w:trPr>
          <w:trHeight w:val="274"/>
          <w:jc w:val="center"/>
        </w:trPr>
        <w:tc>
          <w:tcPr>
            <w:tcW w:w="2685" w:type="dxa"/>
            <w:tcBorders>
              <w:top w:val="nil"/>
              <w:left w:val="nil"/>
              <w:bottom w:val="nil"/>
              <w:right w:val="nil"/>
            </w:tcBorders>
          </w:tcPr>
          <w:p w14:paraId="7DCC614C" w14:textId="77777777" w:rsidR="006E17B8" w:rsidRPr="003C71A0" w:rsidRDefault="006E17B8" w:rsidP="006E17B8">
            <w:pPr>
              <w:spacing w:after="0" w:line="240" w:lineRule="auto"/>
              <w:rPr>
                <w:rFonts w:ascii="Times New Roman" w:hAnsi="Times New Roman"/>
                <w:color w:val="000000"/>
                <w:sz w:val="24"/>
                <w:szCs w:val="24"/>
              </w:rPr>
            </w:pPr>
            <w:r>
              <w:rPr>
                <w:rFonts w:ascii="Times New Roman" w:hAnsi="Times New Roman" w:cs="Times New Roman"/>
                <w:sz w:val="24"/>
                <w:szCs w:val="24"/>
              </w:rPr>
              <w:t>Observations</w:t>
            </w:r>
          </w:p>
        </w:tc>
        <w:tc>
          <w:tcPr>
            <w:tcW w:w="2056" w:type="dxa"/>
            <w:tcBorders>
              <w:top w:val="nil"/>
              <w:left w:val="nil"/>
              <w:bottom w:val="nil"/>
              <w:right w:val="nil"/>
            </w:tcBorders>
          </w:tcPr>
          <w:p w14:paraId="24BD956D"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944</w:t>
            </w:r>
          </w:p>
        </w:tc>
        <w:tc>
          <w:tcPr>
            <w:tcW w:w="2006" w:type="dxa"/>
            <w:tcBorders>
              <w:top w:val="nil"/>
              <w:left w:val="nil"/>
              <w:bottom w:val="nil"/>
              <w:right w:val="nil"/>
            </w:tcBorders>
          </w:tcPr>
          <w:p w14:paraId="181A30F8"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984</w:t>
            </w:r>
          </w:p>
        </w:tc>
        <w:tc>
          <w:tcPr>
            <w:tcW w:w="2467" w:type="dxa"/>
            <w:tcBorders>
              <w:top w:val="nil"/>
              <w:left w:val="nil"/>
              <w:bottom w:val="nil"/>
              <w:right w:val="nil"/>
            </w:tcBorders>
          </w:tcPr>
          <w:p w14:paraId="3FD560AD"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992</w:t>
            </w:r>
          </w:p>
        </w:tc>
      </w:tr>
      <w:tr w:rsidR="006E17B8" w:rsidRPr="003C71A0" w14:paraId="76EB6F1A" w14:textId="77777777" w:rsidTr="00480C6E">
        <w:trPr>
          <w:trHeight w:val="274"/>
          <w:jc w:val="center"/>
        </w:trPr>
        <w:tc>
          <w:tcPr>
            <w:tcW w:w="2685" w:type="dxa"/>
            <w:tcBorders>
              <w:top w:val="nil"/>
              <w:left w:val="nil"/>
              <w:bottom w:val="nil"/>
              <w:right w:val="nil"/>
            </w:tcBorders>
          </w:tcPr>
          <w:p w14:paraId="00A4B8A1" w14:textId="77777777" w:rsidR="006E17B8" w:rsidRPr="003C71A0" w:rsidRDefault="006E17B8" w:rsidP="006E17B8">
            <w:pPr>
              <w:spacing w:after="0" w:line="240" w:lineRule="auto"/>
              <w:rPr>
                <w:rFonts w:ascii="Times New Roman" w:hAnsi="Times New Roman"/>
                <w:color w:val="000000"/>
                <w:sz w:val="24"/>
                <w:szCs w:val="24"/>
              </w:rPr>
            </w:pPr>
            <w:r>
              <w:rPr>
                <w:rFonts w:ascii="Times New Roman" w:hAnsi="Times New Roman" w:cs="Times New Roman"/>
                <w:sz w:val="24"/>
                <w:szCs w:val="24"/>
              </w:rPr>
              <w:t>Firm_FE</w:t>
            </w:r>
          </w:p>
        </w:tc>
        <w:tc>
          <w:tcPr>
            <w:tcW w:w="2056" w:type="dxa"/>
            <w:tcBorders>
              <w:top w:val="nil"/>
              <w:left w:val="nil"/>
              <w:bottom w:val="nil"/>
              <w:right w:val="nil"/>
            </w:tcBorders>
          </w:tcPr>
          <w:p w14:paraId="4A4BB328"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Included</w:t>
            </w:r>
          </w:p>
        </w:tc>
        <w:tc>
          <w:tcPr>
            <w:tcW w:w="2006" w:type="dxa"/>
            <w:tcBorders>
              <w:top w:val="nil"/>
              <w:left w:val="nil"/>
              <w:bottom w:val="nil"/>
              <w:right w:val="nil"/>
            </w:tcBorders>
          </w:tcPr>
          <w:p w14:paraId="5524E7FD"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Included</w:t>
            </w:r>
          </w:p>
        </w:tc>
        <w:tc>
          <w:tcPr>
            <w:tcW w:w="2467" w:type="dxa"/>
            <w:tcBorders>
              <w:top w:val="nil"/>
              <w:left w:val="nil"/>
              <w:bottom w:val="nil"/>
              <w:right w:val="nil"/>
            </w:tcBorders>
          </w:tcPr>
          <w:p w14:paraId="03E4ADC7"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Included</w:t>
            </w:r>
          </w:p>
        </w:tc>
      </w:tr>
      <w:tr w:rsidR="006E17B8" w:rsidRPr="003C71A0" w14:paraId="64DC16BA" w14:textId="77777777" w:rsidTr="00480C6E">
        <w:trPr>
          <w:trHeight w:val="274"/>
          <w:jc w:val="center"/>
        </w:trPr>
        <w:tc>
          <w:tcPr>
            <w:tcW w:w="2685" w:type="dxa"/>
            <w:tcBorders>
              <w:top w:val="nil"/>
              <w:left w:val="nil"/>
              <w:right w:val="nil"/>
            </w:tcBorders>
          </w:tcPr>
          <w:p w14:paraId="4112210C" w14:textId="77777777" w:rsidR="006E17B8" w:rsidRPr="003C71A0" w:rsidRDefault="006E17B8" w:rsidP="006E17B8">
            <w:pPr>
              <w:spacing w:after="0" w:line="240" w:lineRule="auto"/>
              <w:rPr>
                <w:rFonts w:ascii="Times New Roman" w:hAnsi="Times New Roman"/>
                <w:color w:val="000000"/>
                <w:sz w:val="24"/>
                <w:szCs w:val="24"/>
              </w:rPr>
            </w:pPr>
            <w:r>
              <w:rPr>
                <w:rFonts w:ascii="Times New Roman" w:hAnsi="Times New Roman" w:cs="Times New Roman"/>
                <w:sz w:val="24"/>
                <w:szCs w:val="24"/>
              </w:rPr>
              <w:t>Year_FE</w:t>
            </w:r>
          </w:p>
        </w:tc>
        <w:tc>
          <w:tcPr>
            <w:tcW w:w="2056" w:type="dxa"/>
            <w:tcBorders>
              <w:top w:val="nil"/>
              <w:left w:val="nil"/>
              <w:right w:val="nil"/>
            </w:tcBorders>
          </w:tcPr>
          <w:p w14:paraId="6F8A92B6"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Included</w:t>
            </w:r>
          </w:p>
        </w:tc>
        <w:tc>
          <w:tcPr>
            <w:tcW w:w="2006" w:type="dxa"/>
            <w:tcBorders>
              <w:top w:val="nil"/>
              <w:left w:val="nil"/>
              <w:right w:val="nil"/>
            </w:tcBorders>
          </w:tcPr>
          <w:p w14:paraId="322B49A7"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Included</w:t>
            </w:r>
          </w:p>
        </w:tc>
        <w:tc>
          <w:tcPr>
            <w:tcW w:w="2467" w:type="dxa"/>
            <w:tcBorders>
              <w:top w:val="nil"/>
              <w:left w:val="nil"/>
              <w:right w:val="nil"/>
            </w:tcBorders>
          </w:tcPr>
          <w:p w14:paraId="41B5571F"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Included</w:t>
            </w:r>
          </w:p>
        </w:tc>
      </w:tr>
      <w:tr w:rsidR="006E17B8" w:rsidRPr="003C71A0" w14:paraId="7DFD7448" w14:textId="77777777" w:rsidTr="00480C6E">
        <w:trPr>
          <w:trHeight w:val="274"/>
          <w:jc w:val="center"/>
        </w:trPr>
        <w:tc>
          <w:tcPr>
            <w:tcW w:w="2685" w:type="dxa"/>
            <w:tcBorders>
              <w:top w:val="nil"/>
              <w:left w:val="nil"/>
              <w:right w:val="nil"/>
            </w:tcBorders>
          </w:tcPr>
          <w:p w14:paraId="6A60CEEF" w14:textId="77777777" w:rsidR="006E17B8" w:rsidRPr="003C71A0" w:rsidRDefault="006E17B8" w:rsidP="006E17B8">
            <w:pPr>
              <w:spacing w:after="0" w:line="240" w:lineRule="auto"/>
              <w:rPr>
                <w:rFonts w:ascii="Times New Roman" w:hAnsi="Times New Roman"/>
                <w:color w:val="000000"/>
                <w:sz w:val="24"/>
                <w:szCs w:val="24"/>
              </w:rPr>
            </w:pPr>
            <w:r>
              <w:rPr>
                <w:rFonts w:ascii="Times New Roman" w:hAnsi="Times New Roman" w:cs="Times New Roman"/>
                <w:sz w:val="24"/>
                <w:szCs w:val="24"/>
              </w:rPr>
              <w:t>Adj. R-squared</w:t>
            </w:r>
          </w:p>
        </w:tc>
        <w:tc>
          <w:tcPr>
            <w:tcW w:w="2056" w:type="dxa"/>
            <w:tcBorders>
              <w:top w:val="nil"/>
              <w:left w:val="nil"/>
              <w:right w:val="nil"/>
            </w:tcBorders>
          </w:tcPr>
          <w:p w14:paraId="1EEFA036"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0.160</w:t>
            </w:r>
          </w:p>
        </w:tc>
        <w:tc>
          <w:tcPr>
            <w:tcW w:w="2006" w:type="dxa"/>
            <w:tcBorders>
              <w:top w:val="nil"/>
              <w:left w:val="nil"/>
              <w:right w:val="nil"/>
            </w:tcBorders>
          </w:tcPr>
          <w:p w14:paraId="69E1F4FB"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0.211</w:t>
            </w:r>
          </w:p>
        </w:tc>
        <w:tc>
          <w:tcPr>
            <w:tcW w:w="2467" w:type="dxa"/>
            <w:tcBorders>
              <w:top w:val="nil"/>
              <w:left w:val="nil"/>
              <w:right w:val="nil"/>
            </w:tcBorders>
          </w:tcPr>
          <w:p w14:paraId="1C803852" w14:textId="77777777" w:rsidR="006E17B8" w:rsidRDefault="006E17B8" w:rsidP="006E1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0.0921</w:t>
            </w:r>
          </w:p>
        </w:tc>
      </w:tr>
    </w:tbl>
    <w:p w14:paraId="0271DE76" w14:textId="77777777" w:rsidR="00AE251F" w:rsidRDefault="00AE251F" w:rsidP="00AE251F">
      <w:pPr>
        <w:pBdr>
          <w:bottom w:val="single" w:sz="12" w:space="1" w:color="auto"/>
        </w:pBdr>
        <w:spacing w:line="240" w:lineRule="auto"/>
        <w:contextualSpacing/>
        <w:rPr>
          <w:rFonts w:ascii="Times New Roman" w:hAnsi="Times New Roman"/>
          <w:sz w:val="24"/>
          <w:szCs w:val="24"/>
        </w:rPr>
      </w:pPr>
    </w:p>
    <w:p w14:paraId="2D5A9F7D" w14:textId="106102F7" w:rsidR="00F73B44" w:rsidRDefault="00F73B44" w:rsidP="00F73B44">
      <w:pPr>
        <w:spacing w:line="240" w:lineRule="auto"/>
        <w:contextualSpacing/>
        <w:jc w:val="center"/>
        <w:rPr>
          <w:rFonts w:ascii="b" w:hAnsi="b"/>
          <w:sz w:val="24"/>
          <w:szCs w:val="24"/>
        </w:rPr>
      </w:pPr>
    </w:p>
    <w:p w14:paraId="59751709" w14:textId="77777777" w:rsidR="00F73B44" w:rsidRDefault="00F73B44" w:rsidP="00F73B44">
      <w:pPr>
        <w:spacing w:line="240" w:lineRule="auto"/>
        <w:contextualSpacing/>
        <w:jc w:val="center"/>
        <w:rPr>
          <w:rFonts w:ascii="Times New Roman" w:hAnsi="Times New Roman"/>
          <w:b/>
          <w:sz w:val="24"/>
          <w:szCs w:val="24"/>
        </w:rPr>
      </w:pPr>
    </w:p>
    <w:p w14:paraId="3CBBA341" w14:textId="77777777" w:rsidR="00F73B44" w:rsidRDefault="00F73B44" w:rsidP="00F73B44">
      <w:pPr>
        <w:spacing w:line="240" w:lineRule="auto"/>
        <w:contextualSpacing/>
        <w:jc w:val="center"/>
        <w:rPr>
          <w:rFonts w:ascii="Times New Roman" w:hAnsi="Times New Roman"/>
          <w:b/>
          <w:sz w:val="24"/>
          <w:szCs w:val="24"/>
        </w:rPr>
      </w:pPr>
    </w:p>
    <w:p w14:paraId="5F997E24" w14:textId="77777777" w:rsidR="00F73B44" w:rsidRDefault="00F73B44" w:rsidP="00F73B44">
      <w:pPr>
        <w:spacing w:line="240" w:lineRule="auto"/>
        <w:contextualSpacing/>
        <w:jc w:val="center"/>
        <w:rPr>
          <w:rFonts w:ascii="Times New Roman" w:hAnsi="Times New Roman"/>
          <w:b/>
          <w:sz w:val="24"/>
          <w:szCs w:val="24"/>
        </w:rPr>
      </w:pPr>
    </w:p>
    <w:p w14:paraId="70B690EF" w14:textId="77777777" w:rsidR="00F73B44" w:rsidRDefault="00F73B44" w:rsidP="00F73B44">
      <w:pPr>
        <w:spacing w:line="240" w:lineRule="auto"/>
        <w:contextualSpacing/>
        <w:jc w:val="center"/>
        <w:rPr>
          <w:rFonts w:ascii="Times New Roman" w:hAnsi="Times New Roman"/>
          <w:b/>
          <w:sz w:val="24"/>
          <w:szCs w:val="24"/>
        </w:rPr>
      </w:pPr>
    </w:p>
    <w:p w14:paraId="0A367AD0" w14:textId="77777777" w:rsidR="00F73B44" w:rsidRDefault="00F73B44" w:rsidP="00F73B44">
      <w:pPr>
        <w:spacing w:line="240" w:lineRule="auto"/>
        <w:contextualSpacing/>
        <w:jc w:val="center"/>
        <w:rPr>
          <w:rFonts w:ascii="Times New Roman" w:hAnsi="Times New Roman"/>
          <w:b/>
          <w:sz w:val="24"/>
          <w:szCs w:val="24"/>
        </w:rPr>
      </w:pPr>
    </w:p>
    <w:p w14:paraId="1064BAAA" w14:textId="77777777" w:rsidR="00F73B44" w:rsidRDefault="00F73B44" w:rsidP="00F73B44">
      <w:pPr>
        <w:spacing w:line="240" w:lineRule="auto"/>
        <w:contextualSpacing/>
        <w:jc w:val="center"/>
        <w:rPr>
          <w:rFonts w:ascii="Times New Roman" w:hAnsi="Times New Roman"/>
          <w:b/>
          <w:sz w:val="24"/>
          <w:szCs w:val="24"/>
        </w:rPr>
      </w:pPr>
    </w:p>
    <w:p w14:paraId="4A4BDA73" w14:textId="77777777" w:rsidR="00F73B44" w:rsidRDefault="00F73B44" w:rsidP="00F73B44">
      <w:pPr>
        <w:spacing w:line="240" w:lineRule="auto"/>
        <w:contextualSpacing/>
        <w:jc w:val="center"/>
        <w:rPr>
          <w:rFonts w:ascii="Times New Roman" w:hAnsi="Times New Roman"/>
          <w:b/>
          <w:sz w:val="24"/>
          <w:szCs w:val="24"/>
        </w:rPr>
      </w:pPr>
    </w:p>
    <w:p w14:paraId="6D7D8694" w14:textId="77777777" w:rsidR="00F73B44" w:rsidRDefault="00F73B44" w:rsidP="00F73B44">
      <w:pPr>
        <w:spacing w:line="240" w:lineRule="auto"/>
        <w:contextualSpacing/>
        <w:jc w:val="center"/>
        <w:rPr>
          <w:rFonts w:ascii="Times New Roman" w:hAnsi="Times New Roman"/>
          <w:b/>
          <w:sz w:val="24"/>
          <w:szCs w:val="24"/>
        </w:rPr>
      </w:pPr>
    </w:p>
    <w:p w14:paraId="3C86C713" w14:textId="77777777" w:rsidR="00F73B44" w:rsidRDefault="00F73B44" w:rsidP="00F73B44">
      <w:pPr>
        <w:spacing w:line="240" w:lineRule="auto"/>
        <w:contextualSpacing/>
        <w:jc w:val="center"/>
        <w:rPr>
          <w:rFonts w:ascii="Times New Roman" w:hAnsi="Times New Roman"/>
          <w:b/>
          <w:sz w:val="24"/>
          <w:szCs w:val="24"/>
        </w:rPr>
      </w:pPr>
    </w:p>
    <w:p w14:paraId="7E53FCF6" w14:textId="77777777" w:rsidR="00F73B44" w:rsidRDefault="00F73B44" w:rsidP="00F73B44">
      <w:pPr>
        <w:spacing w:line="240" w:lineRule="auto"/>
        <w:contextualSpacing/>
        <w:jc w:val="center"/>
        <w:rPr>
          <w:rFonts w:ascii="Times New Roman" w:hAnsi="Times New Roman"/>
          <w:b/>
          <w:sz w:val="24"/>
          <w:szCs w:val="24"/>
        </w:rPr>
      </w:pPr>
    </w:p>
    <w:p w14:paraId="4D5554A6" w14:textId="2F30CDCD" w:rsidR="00F73B44" w:rsidRPr="0080751D" w:rsidRDefault="00F73B44" w:rsidP="00F73B44">
      <w:pPr>
        <w:spacing w:line="240" w:lineRule="auto"/>
        <w:contextualSpacing/>
        <w:jc w:val="center"/>
        <w:rPr>
          <w:rFonts w:ascii="Times New Roman" w:hAnsi="Times New Roman"/>
          <w:b/>
          <w:sz w:val="24"/>
          <w:szCs w:val="24"/>
        </w:rPr>
      </w:pPr>
      <w:r w:rsidRPr="0080751D">
        <w:rPr>
          <w:rFonts w:ascii="Times New Roman" w:hAnsi="Times New Roman"/>
          <w:b/>
          <w:sz w:val="24"/>
          <w:szCs w:val="24"/>
        </w:rPr>
        <w:t xml:space="preserve">Table </w:t>
      </w:r>
      <w:r>
        <w:rPr>
          <w:rFonts w:ascii="Times New Roman" w:hAnsi="Times New Roman"/>
          <w:b/>
          <w:sz w:val="24"/>
          <w:szCs w:val="24"/>
        </w:rPr>
        <w:t>7 - Continued</w:t>
      </w:r>
    </w:p>
    <w:p w14:paraId="5D9D3141" w14:textId="77777777" w:rsidR="00F73B44" w:rsidRPr="0080751D" w:rsidRDefault="00F73B44" w:rsidP="00F73B44">
      <w:pPr>
        <w:pBdr>
          <w:bottom w:val="single" w:sz="12" w:space="1" w:color="auto"/>
        </w:pBdr>
        <w:spacing w:line="240" w:lineRule="auto"/>
        <w:contextualSpacing/>
        <w:jc w:val="center"/>
        <w:rPr>
          <w:rFonts w:ascii="p" w:hAnsi="p"/>
          <w:b/>
          <w:sz w:val="24"/>
          <w:szCs w:val="24"/>
          <w:vertAlign w:val="superscript"/>
        </w:rPr>
      </w:pPr>
      <w:r w:rsidRPr="0080751D">
        <w:rPr>
          <w:rFonts w:ascii="Times New Roman" w:hAnsi="Times New Roman"/>
          <w:b/>
          <w:sz w:val="24"/>
          <w:szCs w:val="24"/>
        </w:rPr>
        <w:t xml:space="preserve"> Switchers vs Non-switchers</w:t>
      </w:r>
      <w:r w:rsidRPr="0080751D">
        <w:rPr>
          <w:rFonts w:ascii="p" w:hAnsi="p"/>
          <w:b/>
          <w:sz w:val="24"/>
          <w:szCs w:val="24"/>
          <w:vertAlign w:val="superscript"/>
        </w:rPr>
        <w:t>a</w:t>
      </w:r>
    </w:p>
    <w:p w14:paraId="3124FF40" w14:textId="6A3EFA40" w:rsidR="00F73B44" w:rsidRDefault="00F73B44" w:rsidP="00C02101">
      <w:pPr>
        <w:spacing w:line="240" w:lineRule="auto"/>
        <w:ind w:hanging="567"/>
        <w:contextualSpacing/>
        <w:jc w:val="both"/>
        <w:rPr>
          <w:rFonts w:ascii="Times New Roman" w:hAnsi="Times New Roman"/>
          <w:sz w:val="24"/>
          <w:szCs w:val="24"/>
        </w:rPr>
      </w:pPr>
      <w:r w:rsidRPr="0080751D">
        <w:rPr>
          <w:rFonts w:ascii="Times New Roman" w:hAnsi="Times New Roman"/>
          <w:b/>
          <w:sz w:val="24"/>
          <w:szCs w:val="24"/>
        </w:rPr>
        <w:t xml:space="preserve">        </w:t>
      </w:r>
      <w:r w:rsidRPr="0080751D">
        <w:rPr>
          <w:rFonts w:ascii="Times New Roman" w:hAnsi="Times New Roman"/>
          <w:b/>
          <w:vertAlign w:val="superscript"/>
        </w:rPr>
        <w:t>a</w:t>
      </w:r>
      <w:r w:rsidRPr="0080751D">
        <w:rPr>
          <w:rFonts w:ascii="Times New Roman" w:hAnsi="Times New Roman"/>
          <w:sz w:val="24"/>
          <w:szCs w:val="24"/>
        </w:rPr>
        <w:t>This table</w:t>
      </w:r>
      <w:r>
        <w:rPr>
          <w:rFonts w:ascii="Times New Roman" w:hAnsi="Times New Roman"/>
          <w:sz w:val="24"/>
          <w:szCs w:val="24"/>
        </w:rPr>
        <w:t xml:space="preserve"> reports the coefficient </w:t>
      </w:r>
      <w:r w:rsidRPr="0080751D">
        <w:rPr>
          <w:rFonts w:ascii="Times New Roman" w:hAnsi="Times New Roman"/>
          <w:sz w:val="24"/>
          <w:szCs w:val="24"/>
        </w:rPr>
        <w:t xml:space="preserve">estimates </w:t>
      </w:r>
      <w:r>
        <w:rPr>
          <w:rFonts w:ascii="Times New Roman" w:hAnsi="Times New Roman"/>
          <w:sz w:val="24"/>
          <w:szCs w:val="24"/>
        </w:rPr>
        <w:t>and t-statistics from the following regression</w:t>
      </w:r>
      <w:r w:rsidR="0006627E">
        <w:rPr>
          <w:rFonts w:ascii="Times New Roman" w:hAnsi="Times New Roman"/>
          <w:sz w:val="24"/>
          <w:szCs w:val="24"/>
        </w:rPr>
        <w:t xml:space="preserve">: </w:t>
      </w:r>
      <w:r w:rsidRPr="00C11785">
        <w:rPr>
          <w:rFonts w:ascii="Times New Roman" w:hAnsi="Times New Roman" w:cs="Times New Roman"/>
          <w:sz w:val="24"/>
          <w:szCs w:val="24"/>
        </w:rPr>
        <w:t>R&amp;D</w:t>
      </w:r>
      <w:r>
        <w:rPr>
          <w:rFonts w:ascii="Times New Roman" w:hAnsi="Times New Roman" w:cs="Times New Roman"/>
          <w:sz w:val="24"/>
          <w:szCs w:val="24"/>
        </w:rPr>
        <w:t xml:space="preserve"> Growth = </w:t>
      </w:r>
      <w:r w:rsidR="00F327C9">
        <w:rPr>
          <w:rFonts w:ascii="Symbol" w:hAnsi="Symbol" w:cs="Times New Roman"/>
          <w:sz w:val="24"/>
          <w:szCs w:val="24"/>
        </w:rPr>
        <w:t></w:t>
      </w:r>
      <w:r w:rsidRPr="00DF2E72">
        <w:rPr>
          <w:rFonts w:ascii="Times New Roman" w:hAnsi="Times New Roman" w:cs="Times New Roman"/>
          <w:sz w:val="24"/>
          <w:szCs w:val="24"/>
          <w:vertAlign w:val="subscript"/>
        </w:rPr>
        <w:t xml:space="preserve">0 </w:t>
      </w:r>
      <w:r>
        <w:rPr>
          <w:rFonts w:ascii="Times New Roman" w:hAnsi="Times New Roman" w:cs="Times New Roman"/>
          <w:sz w:val="24"/>
          <w:szCs w:val="24"/>
        </w:rPr>
        <w:t>+ ∑</w:t>
      </w:r>
      <w:r w:rsidRPr="0012154E">
        <w:rPr>
          <w:rFonts w:ascii="Times New Roman" w:hAnsi="Times New Roman" w:cs="Times New Roman"/>
          <w:sz w:val="24"/>
          <w:szCs w:val="24"/>
          <w:vertAlign w:val="subscript"/>
        </w:rPr>
        <w:t xml:space="preserve">t </w:t>
      </w:r>
      <w:r>
        <w:rPr>
          <w:rFonts w:ascii="Symbol" w:hAnsi="Symbol" w:cs="Times New Roman"/>
          <w:sz w:val="24"/>
          <w:szCs w:val="24"/>
        </w:rPr>
        <w:t></w:t>
      </w:r>
      <w:r w:rsidRPr="0012154E">
        <w:rPr>
          <w:rFonts w:ascii="Times New Roman" w:hAnsi="Times New Roman" w:cs="Times New Roman"/>
          <w:sz w:val="24"/>
          <w:szCs w:val="24"/>
          <w:vertAlign w:val="subscript"/>
        </w:rPr>
        <w:t>t</w:t>
      </w:r>
      <w:r>
        <w:rPr>
          <w:rFonts w:ascii="Times New Roman" w:hAnsi="Times New Roman" w:cs="Times New Roman"/>
          <w:sz w:val="24"/>
          <w:szCs w:val="24"/>
        </w:rPr>
        <w:t>SWITCH*IFRS</w:t>
      </w:r>
      <w:r w:rsidRPr="0012154E">
        <w:rPr>
          <w:rFonts w:ascii="Times New Roman" w:hAnsi="Times New Roman" w:cs="Times New Roman"/>
          <w:sz w:val="24"/>
          <w:szCs w:val="24"/>
          <w:vertAlign w:val="subscript"/>
        </w:rPr>
        <w:t xml:space="preserve">t </w:t>
      </w:r>
      <w:r>
        <w:rPr>
          <w:rFonts w:ascii="Times New Roman" w:hAnsi="Times New Roman" w:cs="Times New Roman"/>
          <w:sz w:val="24"/>
          <w:szCs w:val="24"/>
        </w:rPr>
        <w:t>+ ∑</w:t>
      </w:r>
      <w:r w:rsidRPr="0012154E">
        <w:rPr>
          <w:rFonts w:ascii="Times New Roman" w:hAnsi="Times New Roman" w:cs="Times New Roman"/>
          <w:sz w:val="24"/>
          <w:szCs w:val="24"/>
          <w:vertAlign w:val="subscript"/>
        </w:rPr>
        <w:t>i</w:t>
      </w:r>
      <w:r>
        <w:rPr>
          <w:rFonts w:ascii="Symbol" w:hAnsi="Symbol" w:cs="Times New Roman"/>
          <w:sz w:val="24"/>
          <w:szCs w:val="24"/>
        </w:rPr>
        <w:sym w:font="Symbol" w:char="F046"/>
      </w:r>
      <w:r>
        <w:rPr>
          <w:rFonts w:ascii="Times New Roman" w:hAnsi="Times New Roman" w:cs="Times New Roman"/>
          <w:sz w:val="24"/>
          <w:szCs w:val="24"/>
          <w:vertAlign w:val="subscript"/>
        </w:rPr>
        <w:t>i</w:t>
      </w:r>
      <w:r>
        <w:rPr>
          <w:rFonts w:ascii="Times New Roman" w:hAnsi="Times New Roman" w:cs="Times New Roman"/>
          <w:sz w:val="24"/>
          <w:szCs w:val="24"/>
        </w:rPr>
        <w:t>Control</w:t>
      </w:r>
      <w:r w:rsidRPr="0012154E">
        <w:rPr>
          <w:rFonts w:ascii="Times New Roman" w:hAnsi="Times New Roman" w:cs="Times New Roman"/>
          <w:sz w:val="24"/>
          <w:szCs w:val="24"/>
          <w:vertAlign w:val="subscript"/>
        </w:rPr>
        <w:t xml:space="preserve">i </w:t>
      </w:r>
      <w:r>
        <w:rPr>
          <w:rFonts w:ascii="Times New Roman" w:hAnsi="Times New Roman" w:cs="Times New Roman"/>
          <w:sz w:val="24"/>
          <w:szCs w:val="24"/>
        </w:rPr>
        <w:t xml:space="preserve">+ firm fixed effects + year fixed effects + </w:t>
      </w:r>
      <w:r w:rsidRPr="00480C6E">
        <w:rPr>
          <w:rFonts w:ascii="Symbol" w:hAnsi="Symbol" w:cs="Times New Roman"/>
          <w:sz w:val="24"/>
          <w:szCs w:val="24"/>
        </w:rPr>
        <w:t></w:t>
      </w:r>
      <w:r>
        <w:rPr>
          <w:rFonts w:ascii="Times New Roman" w:hAnsi="Times New Roman" w:cs="Times New Roman"/>
          <w:sz w:val="24"/>
          <w:szCs w:val="24"/>
        </w:rPr>
        <w:t xml:space="preserve">       </w:t>
      </w:r>
    </w:p>
    <w:p w14:paraId="7360FF7B" w14:textId="77777777" w:rsidR="00F73B44" w:rsidRDefault="00F73B44" w:rsidP="00C02101">
      <w:pPr>
        <w:spacing w:after="0" w:line="240" w:lineRule="auto"/>
        <w:contextualSpacing/>
        <w:jc w:val="both"/>
        <w:rPr>
          <w:rFonts w:ascii="Times New Roman" w:hAnsi="Times New Roman"/>
          <w:sz w:val="24"/>
          <w:szCs w:val="24"/>
        </w:rPr>
      </w:pPr>
    </w:p>
    <w:p w14:paraId="3B94CDC1" w14:textId="61731AD3" w:rsidR="00AE251F" w:rsidRPr="005137F2" w:rsidRDefault="00F73B44" w:rsidP="00C02101">
      <w:pPr>
        <w:jc w:val="both"/>
        <w:rPr>
          <w:rFonts w:ascii="Times New Roman" w:hAnsi="Times New Roman" w:cs="Times New Roman"/>
          <w:sz w:val="24"/>
          <w:szCs w:val="24"/>
        </w:rPr>
      </w:pPr>
      <w:r>
        <w:rPr>
          <w:rFonts w:ascii="Times New Roman" w:hAnsi="Times New Roman"/>
          <w:sz w:val="24"/>
          <w:szCs w:val="24"/>
        </w:rPr>
        <w:t>The dependent variable (R&amp;D Growth) is measured as follows: RD_Gwth</w:t>
      </w:r>
      <w:r w:rsidRPr="00FD3A6E">
        <w:rPr>
          <w:rFonts w:ascii="Times New Roman" w:hAnsi="Times New Roman"/>
          <w:sz w:val="24"/>
          <w:szCs w:val="24"/>
        </w:rPr>
        <w:t xml:space="preserve"> </w:t>
      </w:r>
      <w:r>
        <w:rPr>
          <w:rFonts w:ascii="Times New Roman" w:hAnsi="Times New Roman"/>
          <w:sz w:val="24"/>
          <w:szCs w:val="24"/>
        </w:rPr>
        <w:t>is the change in R&amp;D expenditures divided by lagged R&amp;D expenditures;</w:t>
      </w:r>
      <w:r w:rsidRPr="00FD3A6E">
        <w:rPr>
          <w:rFonts w:ascii="Times New Roman" w:hAnsi="Times New Roman"/>
          <w:sz w:val="24"/>
          <w:szCs w:val="24"/>
        </w:rPr>
        <w:t xml:space="preserve"> </w:t>
      </w:r>
      <w:r>
        <w:rPr>
          <w:rFonts w:ascii="Times New Roman" w:hAnsi="Times New Roman"/>
          <w:sz w:val="24"/>
          <w:szCs w:val="24"/>
        </w:rPr>
        <w:t xml:space="preserve">RD_TA is the change in R&amp;D expenditures scaled by lagged total assets; RD_Sales is the change in R&amp;D expenditures divided by lagged sales. </w:t>
      </w:r>
      <w:r w:rsidR="00AA5F43">
        <w:rPr>
          <w:rFonts w:ascii="Times New Roman" w:hAnsi="Times New Roman"/>
          <w:sz w:val="24"/>
          <w:szCs w:val="24"/>
        </w:rPr>
        <w:t xml:space="preserve">SWITCH is an indicator variable that equals 1 for switchers (firms that switched from </w:t>
      </w:r>
      <w:r w:rsidR="00AA5F43">
        <w:rPr>
          <w:rFonts w:ascii="Times New Roman" w:hAnsi="Times New Roman" w:cs="Times New Roman"/>
          <w:sz w:val="24"/>
          <w:szCs w:val="24"/>
        </w:rPr>
        <w:t>expensing R&amp;D under UK GAAP to capitalizing R&amp;D under IFRS</w:t>
      </w:r>
      <w:r w:rsidR="00AA5F43">
        <w:rPr>
          <w:rFonts w:ascii="Times New Roman" w:hAnsi="Times New Roman"/>
          <w:sz w:val="24"/>
          <w:szCs w:val="24"/>
        </w:rPr>
        <w:t>), and 0 for capitalizers (firms that always capitalized under UK GAAP and IFRS</w:t>
      </w:r>
      <w:r w:rsidR="00AA5F43" w:rsidRPr="005137F2">
        <w:rPr>
          <w:rFonts w:ascii="Times New Roman" w:hAnsi="Times New Roman" w:cs="Times New Roman"/>
          <w:sz w:val="24"/>
          <w:szCs w:val="24"/>
        </w:rPr>
        <w:t>).</w:t>
      </w:r>
      <w:r>
        <w:rPr>
          <w:rFonts w:ascii="Times New Roman" w:hAnsi="Times New Roman"/>
          <w:sz w:val="24"/>
          <w:szCs w:val="24"/>
        </w:rPr>
        <w:t xml:space="preserve"> </w:t>
      </w:r>
      <w:r w:rsidRPr="005137F2">
        <w:rPr>
          <w:rFonts w:ascii="Times New Roman" w:hAnsi="Times New Roman" w:cs="Times New Roman"/>
          <w:sz w:val="24"/>
          <w:szCs w:val="24"/>
        </w:rPr>
        <w:t>IFRS</w:t>
      </w:r>
      <w:r w:rsidRPr="005137F2">
        <w:rPr>
          <w:rFonts w:ascii="Times New Roman" w:hAnsi="Times New Roman" w:cs="Times New Roman"/>
          <w:sz w:val="24"/>
          <w:szCs w:val="24"/>
          <w:vertAlign w:val="subscript"/>
        </w:rPr>
        <w:t>t</w:t>
      </w:r>
      <w:r w:rsidRPr="005137F2">
        <w:rPr>
          <w:rFonts w:ascii="Times New Roman" w:hAnsi="Times New Roman" w:cs="Times New Roman"/>
          <w:sz w:val="24"/>
          <w:szCs w:val="24"/>
        </w:rPr>
        <w:t xml:space="preserve"> are a sequence of indicator variables that equals 1 in the year t relative to IFRS period </w:t>
      </w:r>
      <w:r w:rsidR="0097153A" w:rsidRPr="005137F2">
        <w:rPr>
          <w:rFonts w:ascii="Times New Roman" w:hAnsi="Times New Roman" w:cs="Times New Roman"/>
          <w:sz w:val="24"/>
          <w:szCs w:val="24"/>
        </w:rPr>
        <w:t xml:space="preserve">(2005 and beyond) and 0 otherwise, where t runs from </w:t>
      </w:r>
      <w:r w:rsidR="00EE37C3" w:rsidRPr="005137F2">
        <w:rPr>
          <w:rFonts w:ascii="Times New Roman" w:hAnsi="Times New Roman" w:cs="Times New Roman"/>
          <w:sz w:val="24"/>
          <w:szCs w:val="24"/>
        </w:rPr>
        <w:t>-</w:t>
      </w:r>
      <w:r w:rsidR="0097153A" w:rsidRPr="005137F2">
        <w:rPr>
          <w:rFonts w:ascii="Times New Roman" w:hAnsi="Times New Roman" w:cs="Times New Roman"/>
          <w:sz w:val="24"/>
          <w:szCs w:val="24"/>
        </w:rPr>
        <w:t xml:space="preserve">4 to +3 (i.e., 4 years before through 3 years after IFRS adoption). See Table 6 for the definition of the control variables. </w:t>
      </w:r>
    </w:p>
    <w:p w14:paraId="56A63CB4" w14:textId="2AFFD802" w:rsidR="00AE251F" w:rsidRDefault="00AE251F" w:rsidP="00C02101">
      <w:pPr>
        <w:spacing w:after="0" w:line="240" w:lineRule="auto"/>
        <w:contextualSpacing/>
        <w:jc w:val="both"/>
        <w:rPr>
          <w:rFonts w:ascii="Times New Roman" w:hAnsi="Times New Roman"/>
          <w:sz w:val="24"/>
          <w:szCs w:val="24"/>
        </w:rPr>
      </w:pPr>
      <w:r w:rsidRPr="0080751D">
        <w:rPr>
          <w:rFonts w:ascii="Times New Roman" w:hAnsi="Times New Roman"/>
          <w:sz w:val="24"/>
          <w:szCs w:val="24"/>
        </w:rPr>
        <w:t xml:space="preserve">Standard errors are clustered by firm. </w:t>
      </w:r>
    </w:p>
    <w:p w14:paraId="4273AC31" w14:textId="77777777" w:rsidR="00AE251F" w:rsidRPr="0080751D" w:rsidRDefault="00AE251F" w:rsidP="00C02101">
      <w:pPr>
        <w:spacing w:after="0" w:line="240" w:lineRule="auto"/>
        <w:contextualSpacing/>
        <w:jc w:val="both"/>
        <w:rPr>
          <w:rFonts w:ascii="Times New Roman" w:hAnsi="Times New Roman"/>
          <w:sz w:val="24"/>
          <w:szCs w:val="24"/>
        </w:rPr>
      </w:pPr>
      <w:r w:rsidRPr="0080751D">
        <w:rPr>
          <w:rFonts w:ascii="Times New Roman" w:hAnsi="Times New Roman"/>
          <w:sz w:val="24"/>
          <w:szCs w:val="24"/>
        </w:rPr>
        <w:t xml:space="preserve"> </w:t>
      </w:r>
    </w:p>
    <w:p w14:paraId="6AA1B5BB" w14:textId="77777777" w:rsidR="00AE251F" w:rsidRPr="0080751D" w:rsidRDefault="00AE251F" w:rsidP="00C02101">
      <w:pPr>
        <w:spacing w:before="100" w:beforeAutospacing="1" w:after="0" w:line="240" w:lineRule="auto"/>
        <w:contextualSpacing/>
        <w:jc w:val="both"/>
        <w:rPr>
          <w:rFonts w:ascii="Times New Roman" w:hAnsi="Times New Roman"/>
          <w:sz w:val="24"/>
          <w:szCs w:val="24"/>
        </w:rPr>
      </w:pPr>
      <w:r w:rsidRPr="0080751D">
        <w:rPr>
          <w:rFonts w:ascii="Times New Roman" w:hAnsi="Times New Roman"/>
          <w:sz w:val="24"/>
          <w:szCs w:val="24"/>
        </w:rPr>
        <w:t>*, ** and *** indicate significance at the 0.10, 0.05 and 0.01 levels, respectively.</w:t>
      </w:r>
    </w:p>
    <w:p w14:paraId="58C5B048" w14:textId="77777777" w:rsidR="00AE251F" w:rsidRPr="0080751D" w:rsidRDefault="00AE251F" w:rsidP="00C02101">
      <w:pPr>
        <w:spacing w:after="0" w:line="240" w:lineRule="auto"/>
        <w:contextualSpacing/>
        <w:jc w:val="both"/>
        <w:rPr>
          <w:rFonts w:ascii="Times New Roman" w:hAnsi="Times New Roman"/>
          <w:sz w:val="24"/>
          <w:szCs w:val="24"/>
        </w:rPr>
      </w:pPr>
    </w:p>
    <w:p w14:paraId="3308A2D5" w14:textId="77777777" w:rsidR="00AE251F" w:rsidRDefault="00AE251F" w:rsidP="00AE251F">
      <w:pPr>
        <w:rPr>
          <w:rFonts w:ascii="Times New Roman" w:hAnsi="Times New Roman"/>
          <w:sz w:val="24"/>
          <w:szCs w:val="24"/>
        </w:rPr>
      </w:pPr>
      <w:r>
        <w:rPr>
          <w:rFonts w:ascii="Times New Roman" w:hAnsi="Times New Roman"/>
          <w:sz w:val="24"/>
          <w:szCs w:val="24"/>
        </w:rPr>
        <w:br w:type="page"/>
      </w:r>
    </w:p>
    <w:p w14:paraId="6D5B95B3" w14:textId="77777777" w:rsidR="00AE251F" w:rsidRDefault="00AE251F" w:rsidP="00AE251F">
      <w:pPr>
        <w:spacing w:line="240" w:lineRule="auto"/>
        <w:contextualSpacing/>
        <w:jc w:val="center"/>
        <w:rPr>
          <w:rFonts w:ascii="Times New Roman" w:hAnsi="Times New Roman"/>
          <w:b/>
          <w:sz w:val="24"/>
          <w:szCs w:val="24"/>
        </w:rPr>
      </w:pPr>
      <w:r>
        <w:rPr>
          <w:rFonts w:ascii="Times New Roman" w:hAnsi="Times New Roman"/>
          <w:b/>
          <w:sz w:val="24"/>
          <w:szCs w:val="24"/>
        </w:rPr>
        <w:t>Table 8</w:t>
      </w:r>
    </w:p>
    <w:p w14:paraId="6D8AE970" w14:textId="77777777" w:rsidR="00AE251F" w:rsidRDefault="00AE251F" w:rsidP="00AE251F">
      <w:pPr>
        <w:pBdr>
          <w:bottom w:val="single" w:sz="12" w:space="1" w:color="auto"/>
        </w:pBdr>
        <w:spacing w:line="240" w:lineRule="auto"/>
        <w:contextualSpacing/>
        <w:jc w:val="center"/>
        <w:rPr>
          <w:rFonts w:ascii="Times New Roman" w:hAnsi="Times New Roman"/>
          <w:b/>
          <w:sz w:val="24"/>
          <w:szCs w:val="24"/>
          <w:vertAlign w:val="subscript"/>
        </w:rPr>
      </w:pPr>
      <w:r>
        <w:rPr>
          <w:rFonts w:ascii="Times New Roman" w:hAnsi="Times New Roman"/>
          <w:b/>
          <w:sz w:val="24"/>
          <w:szCs w:val="24"/>
        </w:rPr>
        <w:t>Early vs Late Switchers</w:t>
      </w:r>
      <w:r>
        <w:rPr>
          <w:rFonts w:ascii="Times New Roman" w:hAnsi="Times New Roman"/>
          <w:b/>
          <w:sz w:val="24"/>
          <w:szCs w:val="24"/>
          <w:vertAlign w:val="superscript"/>
        </w:rPr>
        <w:t>a</w:t>
      </w:r>
    </w:p>
    <w:p w14:paraId="052A5FCF" w14:textId="6ABA8FD9" w:rsidR="00AE251F" w:rsidRDefault="00AE251F" w:rsidP="00AE251F">
      <w:pPr>
        <w:spacing w:line="240" w:lineRule="auto"/>
        <w:contextualSpacing/>
        <w:jc w:val="center"/>
        <w:rPr>
          <w:rFonts w:ascii="Times New Roman" w:hAnsi="Times New Roman"/>
          <w:sz w:val="24"/>
          <w:szCs w:val="24"/>
        </w:rPr>
      </w:pPr>
    </w:p>
    <w:tbl>
      <w:tblPr>
        <w:tblW w:w="8151" w:type="dxa"/>
        <w:jc w:val="center"/>
        <w:tblLook w:val="04A0" w:firstRow="1" w:lastRow="0" w:firstColumn="1" w:lastColumn="0" w:noHBand="0" w:noVBand="1"/>
      </w:tblPr>
      <w:tblGrid>
        <w:gridCol w:w="2835"/>
        <w:gridCol w:w="1896"/>
        <w:gridCol w:w="1710"/>
        <w:gridCol w:w="1710"/>
      </w:tblGrid>
      <w:tr w:rsidR="008E0157" w:rsidRPr="005121DA" w14:paraId="01F355B7" w14:textId="77777777" w:rsidTr="00F061A3">
        <w:trPr>
          <w:trHeight w:val="274"/>
          <w:jc w:val="center"/>
        </w:trPr>
        <w:tc>
          <w:tcPr>
            <w:tcW w:w="2835" w:type="dxa"/>
            <w:tcBorders>
              <w:top w:val="nil"/>
              <w:left w:val="nil"/>
              <w:bottom w:val="nil"/>
              <w:right w:val="nil"/>
            </w:tcBorders>
            <w:hideMark/>
          </w:tcPr>
          <w:p w14:paraId="2FA3E9B1" w14:textId="77777777" w:rsidR="008E0157" w:rsidRPr="005121DA" w:rsidRDefault="008E0157" w:rsidP="00F061A3">
            <w:pPr>
              <w:spacing w:after="0" w:line="240" w:lineRule="auto"/>
              <w:rPr>
                <w:rFonts w:ascii="Times New Roman" w:hAnsi="Times New Roman"/>
                <w:sz w:val="24"/>
                <w:szCs w:val="24"/>
              </w:rPr>
            </w:pPr>
          </w:p>
        </w:tc>
        <w:tc>
          <w:tcPr>
            <w:tcW w:w="1896" w:type="dxa"/>
            <w:tcBorders>
              <w:top w:val="nil"/>
              <w:left w:val="nil"/>
              <w:bottom w:val="single" w:sz="4" w:space="0" w:color="auto"/>
              <w:right w:val="nil"/>
            </w:tcBorders>
            <w:vAlign w:val="center"/>
            <w:hideMark/>
          </w:tcPr>
          <w:p w14:paraId="3E48EF7D" w14:textId="77777777" w:rsidR="008E0157" w:rsidRPr="005121DA" w:rsidRDefault="008E0157" w:rsidP="00F061A3">
            <w:pPr>
              <w:spacing w:after="0" w:line="240" w:lineRule="auto"/>
              <w:jc w:val="center"/>
              <w:rPr>
                <w:rFonts w:ascii="Times New Roman" w:hAnsi="Times New Roman"/>
                <w:color w:val="000000"/>
                <w:sz w:val="24"/>
                <w:szCs w:val="24"/>
              </w:rPr>
            </w:pPr>
            <w:r w:rsidRPr="005121DA">
              <w:rPr>
                <w:rFonts w:ascii="Times New Roman" w:hAnsi="Times New Roman"/>
                <w:color w:val="000000"/>
                <w:sz w:val="24"/>
                <w:szCs w:val="24"/>
              </w:rPr>
              <w:t>RD_Gwth</w:t>
            </w:r>
          </w:p>
        </w:tc>
        <w:tc>
          <w:tcPr>
            <w:tcW w:w="1710" w:type="dxa"/>
            <w:tcBorders>
              <w:top w:val="nil"/>
              <w:left w:val="nil"/>
              <w:bottom w:val="single" w:sz="4" w:space="0" w:color="auto"/>
              <w:right w:val="nil"/>
            </w:tcBorders>
            <w:vAlign w:val="center"/>
            <w:hideMark/>
          </w:tcPr>
          <w:p w14:paraId="0F185B84" w14:textId="77777777" w:rsidR="008E0157" w:rsidRPr="005121DA" w:rsidRDefault="008E0157" w:rsidP="00F061A3">
            <w:pPr>
              <w:spacing w:after="0" w:line="240" w:lineRule="auto"/>
              <w:jc w:val="center"/>
              <w:rPr>
                <w:rFonts w:ascii="Times New Roman" w:hAnsi="Times New Roman"/>
                <w:color w:val="000000"/>
                <w:sz w:val="24"/>
                <w:szCs w:val="24"/>
              </w:rPr>
            </w:pPr>
            <w:r w:rsidRPr="005121DA">
              <w:rPr>
                <w:rFonts w:ascii="Times New Roman" w:hAnsi="Times New Roman"/>
                <w:color w:val="000000"/>
                <w:sz w:val="24"/>
                <w:szCs w:val="24"/>
              </w:rPr>
              <w:t>RD_TA</w:t>
            </w:r>
          </w:p>
        </w:tc>
        <w:tc>
          <w:tcPr>
            <w:tcW w:w="1710" w:type="dxa"/>
            <w:tcBorders>
              <w:top w:val="nil"/>
              <w:left w:val="nil"/>
              <w:bottom w:val="single" w:sz="4" w:space="0" w:color="auto"/>
              <w:right w:val="nil"/>
            </w:tcBorders>
            <w:vAlign w:val="center"/>
          </w:tcPr>
          <w:p w14:paraId="347B86E9" w14:textId="77777777" w:rsidR="008E0157" w:rsidRPr="005121DA" w:rsidRDefault="008E0157" w:rsidP="00F061A3">
            <w:pPr>
              <w:spacing w:after="0" w:line="240" w:lineRule="auto"/>
              <w:jc w:val="center"/>
              <w:rPr>
                <w:rFonts w:ascii="Times New Roman" w:hAnsi="Times New Roman"/>
                <w:color w:val="000000"/>
                <w:sz w:val="24"/>
                <w:szCs w:val="24"/>
              </w:rPr>
            </w:pPr>
            <w:r w:rsidRPr="005121DA">
              <w:rPr>
                <w:rFonts w:ascii="Times New Roman" w:hAnsi="Times New Roman"/>
                <w:color w:val="000000"/>
                <w:sz w:val="24"/>
                <w:szCs w:val="24"/>
              </w:rPr>
              <w:t>RD_Sales</w:t>
            </w:r>
          </w:p>
        </w:tc>
      </w:tr>
      <w:tr w:rsidR="008E0157" w:rsidRPr="005121DA" w14:paraId="6524A229" w14:textId="77777777" w:rsidTr="00F061A3">
        <w:trPr>
          <w:trHeight w:val="274"/>
          <w:jc w:val="center"/>
        </w:trPr>
        <w:tc>
          <w:tcPr>
            <w:tcW w:w="2835" w:type="dxa"/>
            <w:tcBorders>
              <w:top w:val="nil"/>
              <w:left w:val="nil"/>
              <w:bottom w:val="nil"/>
              <w:right w:val="nil"/>
            </w:tcBorders>
            <w:vAlign w:val="center"/>
          </w:tcPr>
          <w:p w14:paraId="6F2C0261" w14:textId="6E2CF6ED" w:rsidR="008E0157" w:rsidRDefault="008E0157" w:rsidP="00F061A3">
            <w:pPr>
              <w:spacing w:after="0" w:line="240" w:lineRule="auto"/>
              <w:rPr>
                <w:rFonts w:ascii="Times New Roman" w:hAnsi="Times New Roman"/>
                <w:color w:val="000000"/>
                <w:sz w:val="24"/>
                <w:szCs w:val="24"/>
              </w:rPr>
            </w:pPr>
            <w:r>
              <w:rPr>
                <w:rFonts w:ascii="Times New Roman" w:hAnsi="Times New Roman"/>
                <w:color w:val="000000"/>
                <w:sz w:val="24"/>
                <w:szCs w:val="24"/>
              </w:rPr>
              <w:t>POST</w:t>
            </w:r>
          </w:p>
        </w:tc>
        <w:tc>
          <w:tcPr>
            <w:tcW w:w="1896" w:type="dxa"/>
            <w:tcBorders>
              <w:top w:val="nil"/>
              <w:left w:val="nil"/>
              <w:bottom w:val="nil"/>
              <w:right w:val="nil"/>
            </w:tcBorders>
          </w:tcPr>
          <w:p w14:paraId="0664263A" w14:textId="77777777" w:rsidR="008E0157"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0.350***</w:t>
            </w:r>
          </w:p>
        </w:tc>
        <w:tc>
          <w:tcPr>
            <w:tcW w:w="1710" w:type="dxa"/>
            <w:tcBorders>
              <w:top w:val="nil"/>
              <w:left w:val="nil"/>
              <w:bottom w:val="nil"/>
              <w:right w:val="nil"/>
            </w:tcBorders>
          </w:tcPr>
          <w:p w14:paraId="4B1B212A" w14:textId="77777777" w:rsidR="008E0157"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0.017*</w:t>
            </w:r>
          </w:p>
        </w:tc>
        <w:tc>
          <w:tcPr>
            <w:tcW w:w="1710" w:type="dxa"/>
            <w:tcBorders>
              <w:top w:val="nil"/>
              <w:left w:val="nil"/>
              <w:bottom w:val="nil"/>
              <w:right w:val="nil"/>
            </w:tcBorders>
          </w:tcPr>
          <w:p w14:paraId="6AD41488" w14:textId="77777777" w:rsidR="008E0157"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0.022*</w:t>
            </w:r>
          </w:p>
        </w:tc>
      </w:tr>
      <w:tr w:rsidR="008E0157" w:rsidRPr="005121DA" w14:paraId="1A30A81A" w14:textId="77777777" w:rsidTr="00F061A3">
        <w:trPr>
          <w:trHeight w:val="274"/>
          <w:jc w:val="center"/>
        </w:trPr>
        <w:tc>
          <w:tcPr>
            <w:tcW w:w="2835" w:type="dxa"/>
            <w:tcBorders>
              <w:top w:val="nil"/>
              <w:left w:val="nil"/>
              <w:bottom w:val="nil"/>
              <w:right w:val="nil"/>
            </w:tcBorders>
            <w:vAlign w:val="center"/>
          </w:tcPr>
          <w:p w14:paraId="496DE95E" w14:textId="77777777" w:rsidR="008E0157" w:rsidRDefault="008E0157" w:rsidP="00F061A3">
            <w:pPr>
              <w:spacing w:after="0" w:line="240" w:lineRule="auto"/>
              <w:rPr>
                <w:rFonts w:ascii="Times New Roman" w:hAnsi="Times New Roman"/>
                <w:color w:val="000000"/>
                <w:sz w:val="24"/>
                <w:szCs w:val="24"/>
              </w:rPr>
            </w:pPr>
          </w:p>
        </w:tc>
        <w:tc>
          <w:tcPr>
            <w:tcW w:w="1896" w:type="dxa"/>
            <w:tcBorders>
              <w:top w:val="nil"/>
              <w:left w:val="nil"/>
              <w:bottom w:val="nil"/>
              <w:right w:val="nil"/>
            </w:tcBorders>
          </w:tcPr>
          <w:p w14:paraId="189E9943" w14:textId="77777777" w:rsidR="008E0157"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(3.11)</w:t>
            </w:r>
          </w:p>
        </w:tc>
        <w:tc>
          <w:tcPr>
            <w:tcW w:w="1710" w:type="dxa"/>
            <w:tcBorders>
              <w:top w:val="nil"/>
              <w:left w:val="nil"/>
              <w:bottom w:val="nil"/>
              <w:right w:val="nil"/>
            </w:tcBorders>
          </w:tcPr>
          <w:p w14:paraId="176A5837" w14:textId="77777777" w:rsidR="008E0157"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(1.65)</w:t>
            </w:r>
          </w:p>
        </w:tc>
        <w:tc>
          <w:tcPr>
            <w:tcW w:w="1710" w:type="dxa"/>
            <w:tcBorders>
              <w:top w:val="nil"/>
              <w:left w:val="nil"/>
              <w:bottom w:val="nil"/>
              <w:right w:val="nil"/>
            </w:tcBorders>
          </w:tcPr>
          <w:p w14:paraId="65C6E449" w14:textId="77777777" w:rsidR="008E0157"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(1.83)</w:t>
            </w:r>
          </w:p>
        </w:tc>
      </w:tr>
      <w:tr w:rsidR="008E0157" w:rsidRPr="005121DA" w14:paraId="13201A04" w14:textId="77777777" w:rsidTr="00F061A3">
        <w:trPr>
          <w:trHeight w:val="274"/>
          <w:jc w:val="center"/>
        </w:trPr>
        <w:tc>
          <w:tcPr>
            <w:tcW w:w="2835" w:type="dxa"/>
            <w:tcBorders>
              <w:top w:val="nil"/>
              <w:left w:val="nil"/>
              <w:bottom w:val="nil"/>
              <w:right w:val="nil"/>
            </w:tcBorders>
            <w:vAlign w:val="center"/>
          </w:tcPr>
          <w:p w14:paraId="57ADB048" w14:textId="77777777" w:rsidR="008E0157" w:rsidRPr="005121DA" w:rsidRDefault="008E0157" w:rsidP="00F061A3">
            <w:pPr>
              <w:spacing w:after="0" w:line="240" w:lineRule="auto"/>
              <w:rPr>
                <w:rFonts w:ascii="Times New Roman" w:hAnsi="Times New Roman"/>
                <w:color w:val="000000"/>
                <w:sz w:val="24"/>
                <w:szCs w:val="24"/>
              </w:rPr>
            </w:pPr>
            <w:r>
              <w:rPr>
                <w:rFonts w:ascii="Times New Roman" w:hAnsi="Times New Roman"/>
                <w:color w:val="000000"/>
                <w:sz w:val="24"/>
                <w:szCs w:val="24"/>
              </w:rPr>
              <w:t>MVE</w:t>
            </w:r>
          </w:p>
        </w:tc>
        <w:tc>
          <w:tcPr>
            <w:tcW w:w="1896" w:type="dxa"/>
            <w:tcBorders>
              <w:top w:val="nil"/>
              <w:left w:val="nil"/>
              <w:bottom w:val="nil"/>
              <w:right w:val="nil"/>
            </w:tcBorders>
          </w:tcPr>
          <w:p w14:paraId="3D5094E5" w14:textId="77777777" w:rsidR="008E0157" w:rsidRPr="00400801"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-0.105</w:t>
            </w:r>
          </w:p>
        </w:tc>
        <w:tc>
          <w:tcPr>
            <w:tcW w:w="1710" w:type="dxa"/>
            <w:tcBorders>
              <w:top w:val="nil"/>
              <w:left w:val="nil"/>
              <w:bottom w:val="nil"/>
              <w:right w:val="nil"/>
            </w:tcBorders>
          </w:tcPr>
          <w:p w14:paraId="576CEDC1" w14:textId="77777777" w:rsidR="008E0157" w:rsidRPr="00400801"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w:t>
            </w:r>
          </w:p>
        </w:tc>
        <w:tc>
          <w:tcPr>
            <w:tcW w:w="1710" w:type="dxa"/>
            <w:tcBorders>
              <w:top w:val="nil"/>
              <w:left w:val="nil"/>
              <w:bottom w:val="nil"/>
              <w:right w:val="nil"/>
            </w:tcBorders>
          </w:tcPr>
          <w:p w14:paraId="08E9F9C8" w14:textId="77777777" w:rsidR="008E0157" w:rsidRPr="00400801"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0.018</w:t>
            </w:r>
          </w:p>
        </w:tc>
      </w:tr>
      <w:tr w:rsidR="008E0157" w:rsidRPr="005121DA" w14:paraId="7398C55E" w14:textId="77777777" w:rsidTr="00F061A3">
        <w:trPr>
          <w:trHeight w:val="274"/>
          <w:jc w:val="center"/>
        </w:trPr>
        <w:tc>
          <w:tcPr>
            <w:tcW w:w="2835" w:type="dxa"/>
            <w:tcBorders>
              <w:top w:val="nil"/>
              <w:left w:val="nil"/>
              <w:bottom w:val="nil"/>
              <w:right w:val="nil"/>
            </w:tcBorders>
            <w:vAlign w:val="center"/>
          </w:tcPr>
          <w:p w14:paraId="5192D34F" w14:textId="77777777" w:rsidR="008E0157" w:rsidRPr="005121DA" w:rsidRDefault="008E0157" w:rsidP="00F061A3">
            <w:pPr>
              <w:spacing w:after="0" w:line="240" w:lineRule="auto"/>
              <w:jc w:val="center"/>
              <w:rPr>
                <w:rFonts w:ascii="Times New Roman" w:hAnsi="Times New Roman"/>
                <w:color w:val="000000"/>
                <w:sz w:val="24"/>
                <w:szCs w:val="24"/>
              </w:rPr>
            </w:pPr>
          </w:p>
        </w:tc>
        <w:tc>
          <w:tcPr>
            <w:tcW w:w="1896" w:type="dxa"/>
            <w:tcBorders>
              <w:top w:val="nil"/>
              <w:left w:val="nil"/>
              <w:bottom w:val="nil"/>
              <w:right w:val="nil"/>
            </w:tcBorders>
          </w:tcPr>
          <w:p w14:paraId="08C15EF6" w14:textId="77777777" w:rsidR="008E0157" w:rsidRPr="00400801"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(-0.61)</w:t>
            </w:r>
          </w:p>
        </w:tc>
        <w:tc>
          <w:tcPr>
            <w:tcW w:w="1710" w:type="dxa"/>
            <w:tcBorders>
              <w:top w:val="nil"/>
              <w:left w:val="nil"/>
              <w:bottom w:val="nil"/>
              <w:right w:val="nil"/>
            </w:tcBorders>
          </w:tcPr>
          <w:p w14:paraId="7D64ADFF" w14:textId="77777777" w:rsidR="008E0157" w:rsidRPr="00400801"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(0.10)</w:t>
            </w:r>
          </w:p>
        </w:tc>
        <w:tc>
          <w:tcPr>
            <w:tcW w:w="1710" w:type="dxa"/>
            <w:tcBorders>
              <w:top w:val="nil"/>
              <w:left w:val="nil"/>
              <w:bottom w:val="nil"/>
              <w:right w:val="nil"/>
            </w:tcBorders>
          </w:tcPr>
          <w:p w14:paraId="1A741D67" w14:textId="77777777" w:rsidR="008E0157" w:rsidRPr="00400801"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(0.77)</w:t>
            </w:r>
          </w:p>
        </w:tc>
      </w:tr>
      <w:tr w:rsidR="008E0157" w:rsidRPr="005121DA" w14:paraId="29048059" w14:textId="77777777" w:rsidTr="00F061A3">
        <w:trPr>
          <w:trHeight w:val="274"/>
          <w:jc w:val="center"/>
        </w:trPr>
        <w:tc>
          <w:tcPr>
            <w:tcW w:w="2835" w:type="dxa"/>
            <w:tcBorders>
              <w:top w:val="nil"/>
              <w:left w:val="nil"/>
              <w:bottom w:val="nil"/>
              <w:right w:val="nil"/>
            </w:tcBorders>
            <w:vAlign w:val="center"/>
            <w:hideMark/>
          </w:tcPr>
          <w:p w14:paraId="46D895E4" w14:textId="77777777" w:rsidR="008E0157" w:rsidRPr="005121DA" w:rsidRDefault="008E0157" w:rsidP="00F061A3">
            <w:pPr>
              <w:spacing w:after="0" w:line="240" w:lineRule="auto"/>
              <w:rPr>
                <w:rFonts w:ascii="Times New Roman" w:hAnsi="Times New Roman"/>
                <w:color w:val="000000"/>
                <w:sz w:val="24"/>
                <w:szCs w:val="24"/>
              </w:rPr>
            </w:pPr>
            <w:r>
              <w:rPr>
                <w:rFonts w:ascii="Times New Roman" w:hAnsi="Times New Roman"/>
                <w:color w:val="000000"/>
                <w:sz w:val="24"/>
                <w:szCs w:val="24"/>
              </w:rPr>
              <w:t>TOBIN’s Q</w:t>
            </w:r>
          </w:p>
        </w:tc>
        <w:tc>
          <w:tcPr>
            <w:tcW w:w="1896" w:type="dxa"/>
            <w:tcBorders>
              <w:top w:val="nil"/>
              <w:left w:val="nil"/>
              <w:bottom w:val="nil"/>
              <w:right w:val="nil"/>
            </w:tcBorders>
            <w:hideMark/>
          </w:tcPr>
          <w:p w14:paraId="7DFB37A5" w14:textId="77777777" w:rsidR="008E0157" w:rsidRPr="005121DA" w:rsidRDefault="008E0157" w:rsidP="00F061A3">
            <w:pPr>
              <w:spacing w:after="0" w:line="240" w:lineRule="auto"/>
              <w:jc w:val="center"/>
              <w:rPr>
                <w:rFonts w:ascii="Times New Roman" w:hAnsi="Times New Roman"/>
                <w:color w:val="000000"/>
                <w:sz w:val="24"/>
                <w:szCs w:val="24"/>
              </w:rPr>
            </w:pPr>
            <w:r>
              <w:rPr>
                <w:rFonts w:ascii="Times New Roman" w:hAnsi="Times New Roman" w:cs="Times New Roman"/>
                <w:sz w:val="24"/>
                <w:szCs w:val="24"/>
              </w:rPr>
              <w:t>0.022*</w:t>
            </w:r>
          </w:p>
        </w:tc>
        <w:tc>
          <w:tcPr>
            <w:tcW w:w="1710" w:type="dxa"/>
            <w:tcBorders>
              <w:top w:val="nil"/>
              <w:left w:val="nil"/>
              <w:bottom w:val="nil"/>
              <w:right w:val="nil"/>
            </w:tcBorders>
            <w:hideMark/>
          </w:tcPr>
          <w:p w14:paraId="2992C3C2" w14:textId="77777777" w:rsidR="008E0157" w:rsidRPr="005121DA" w:rsidRDefault="008E0157" w:rsidP="00F061A3">
            <w:pPr>
              <w:spacing w:after="0" w:line="240" w:lineRule="auto"/>
              <w:jc w:val="center"/>
              <w:rPr>
                <w:rFonts w:ascii="Times New Roman" w:hAnsi="Times New Roman"/>
                <w:color w:val="000000"/>
                <w:sz w:val="24"/>
                <w:szCs w:val="24"/>
              </w:rPr>
            </w:pPr>
            <w:r>
              <w:rPr>
                <w:rFonts w:ascii="Times New Roman" w:hAnsi="Times New Roman" w:cs="Times New Roman"/>
                <w:sz w:val="24"/>
                <w:szCs w:val="24"/>
              </w:rPr>
              <w:t>0.001</w:t>
            </w:r>
          </w:p>
        </w:tc>
        <w:tc>
          <w:tcPr>
            <w:tcW w:w="1710" w:type="dxa"/>
            <w:tcBorders>
              <w:top w:val="nil"/>
              <w:left w:val="nil"/>
              <w:bottom w:val="nil"/>
              <w:right w:val="nil"/>
            </w:tcBorders>
          </w:tcPr>
          <w:p w14:paraId="7E6CA50B" w14:textId="77777777" w:rsidR="008E0157"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w:t>
            </w:r>
          </w:p>
        </w:tc>
      </w:tr>
      <w:tr w:rsidR="008E0157" w:rsidRPr="005121DA" w14:paraId="38BB5B7E" w14:textId="77777777" w:rsidTr="00F061A3">
        <w:trPr>
          <w:trHeight w:val="274"/>
          <w:jc w:val="center"/>
        </w:trPr>
        <w:tc>
          <w:tcPr>
            <w:tcW w:w="2835" w:type="dxa"/>
            <w:tcBorders>
              <w:top w:val="nil"/>
              <w:left w:val="nil"/>
              <w:bottom w:val="nil"/>
              <w:right w:val="nil"/>
            </w:tcBorders>
            <w:vAlign w:val="center"/>
            <w:hideMark/>
          </w:tcPr>
          <w:p w14:paraId="2CBC98CC" w14:textId="77777777" w:rsidR="008E0157" w:rsidRPr="005121DA" w:rsidRDefault="008E0157" w:rsidP="00F061A3">
            <w:pPr>
              <w:spacing w:after="0" w:line="240" w:lineRule="auto"/>
              <w:jc w:val="center"/>
              <w:rPr>
                <w:rFonts w:ascii="Times New Roman" w:hAnsi="Times New Roman"/>
                <w:color w:val="000000"/>
                <w:sz w:val="24"/>
                <w:szCs w:val="24"/>
              </w:rPr>
            </w:pPr>
          </w:p>
        </w:tc>
        <w:tc>
          <w:tcPr>
            <w:tcW w:w="1896" w:type="dxa"/>
            <w:tcBorders>
              <w:top w:val="nil"/>
              <w:left w:val="nil"/>
              <w:bottom w:val="nil"/>
              <w:right w:val="nil"/>
            </w:tcBorders>
            <w:hideMark/>
          </w:tcPr>
          <w:p w14:paraId="5A3E8201" w14:textId="77777777" w:rsidR="008E0157" w:rsidRPr="005121DA" w:rsidRDefault="008E0157" w:rsidP="00F061A3">
            <w:pPr>
              <w:spacing w:after="0" w:line="240" w:lineRule="auto"/>
              <w:jc w:val="center"/>
              <w:rPr>
                <w:rFonts w:ascii="Times New Roman" w:hAnsi="Times New Roman"/>
                <w:color w:val="000000"/>
                <w:sz w:val="24"/>
                <w:szCs w:val="24"/>
              </w:rPr>
            </w:pPr>
            <w:r>
              <w:rPr>
                <w:rFonts w:ascii="Times New Roman" w:hAnsi="Times New Roman" w:cs="Times New Roman"/>
                <w:sz w:val="24"/>
                <w:szCs w:val="24"/>
              </w:rPr>
              <w:t>(1.74)</w:t>
            </w:r>
          </w:p>
        </w:tc>
        <w:tc>
          <w:tcPr>
            <w:tcW w:w="1710" w:type="dxa"/>
            <w:tcBorders>
              <w:top w:val="nil"/>
              <w:left w:val="nil"/>
              <w:bottom w:val="nil"/>
              <w:right w:val="nil"/>
            </w:tcBorders>
            <w:hideMark/>
          </w:tcPr>
          <w:p w14:paraId="2B0E4D89" w14:textId="77777777" w:rsidR="008E0157" w:rsidRPr="005121DA" w:rsidRDefault="008E0157" w:rsidP="00F061A3">
            <w:pPr>
              <w:spacing w:after="0" w:line="240" w:lineRule="auto"/>
              <w:jc w:val="center"/>
              <w:rPr>
                <w:rFonts w:ascii="Times New Roman" w:hAnsi="Times New Roman"/>
                <w:color w:val="000000"/>
                <w:sz w:val="24"/>
                <w:szCs w:val="24"/>
              </w:rPr>
            </w:pPr>
            <w:r>
              <w:rPr>
                <w:rFonts w:ascii="Times New Roman" w:hAnsi="Times New Roman" w:cs="Times New Roman"/>
                <w:sz w:val="24"/>
                <w:szCs w:val="24"/>
              </w:rPr>
              <w:t>(1.13)</w:t>
            </w:r>
          </w:p>
        </w:tc>
        <w:tc>
          <w:tcPr>
            <w:tcW w:w="1710" w:type="dxa"/>
            <w:tcBorders>
              <w:top w:val="nil"/>
              <w:left w:val="nil"/>
              <w:bottom w:val="nil"/>
              <w:right w:val="nil"/>
            </w:tcBorders>
          </w:tcPr>
          <w:p w14:paraId="5EC14D32" w14:textId="77777777" w:rsidR="008E0157"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(1.26)</w:t>
            </w:r>
          </w:p>
        </w:tc>
      </w:tr>
      <w:tr w:rsidR="008E0157" w:rsidRPr="005121DA" w14:paraId="59DD45D5" w14:textId="77777777" w:rsidTr="00F061A3">
        <w:trPr>
          <w:trHeight w:val="274"/>
          <w:jc w:val="center"/>
        </w:trPr>
        <w:tc>
          <w:tcPr>
            <w:tcW w:w="2835" w:type="dxa"/>
            <w:tcBorders>
              <w:top w:val="nil"/>
              <w:left w:val="nil"/>
              <w:bottom w:val="nil"/>
              <w:right w:val="nil"/>
            </w:tcBorders>
          </w:tcPr>
          <w:p w14:paraId="06B1D2EF" w14:textId="77777777" w:rsidR="008E0157" w:rsidRPr="005121DA" w:rsidRDefault="008E0157" w:rsidP="00F061A3">
            <w:pPr>
              <w:spacing w:after="0" w:line="240" w:lineRule="auto"/>
              <w:rPr>
                <w:rFonts w:ascii="Times New Roman" w:hAnsi="Times New Roman"/>
                <w:color w:val="000000"/>
                <w:sz w:val="24"/>
                <w:szCs w:val="24"/>
              </w:rPr>
            </w:pPr>
            <w:r>
              <w:rPr>
                <w:rFonts w:ascii="Times New Roman" w:hAnsi="Times New Roman" w:cs="Times New Roman"/>
                <w:sz w:val="24"/>
                <w:szCs w:val="24"/>
              </w:rPr>
              <w:t>GROWTH</w:t>
            </w:r>
          </w:p>
        </w:tc>
        <w:tc>
          <w:tcPr>
            <w:tcW w:w="1896" w:type="dxa"/>
            <w:tcBorders>
              <w:top w:val="nil"/>
              <w:left w:val="nil"/>
              <w:bottom w:val="nil"/>
              <w:right w:val="nil"/>
            </w:tcBorders>
          </w:tcPr>
          <w:p w14:paraId="6EF5CC59" w14:textId="77777777" w:rsidR="008E0157"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0.361**</w:t>
            </w:r>
          </w:p>
        </w:tc>
        <w:tc>
          <w:tcPr>
            <w:tcW w:w="1710" w:type="dxa"/>
            <w:tcBorders>
              <w:top w:val="nil"/>
              <w:left w:val="nil"/>
              <w:bottom w:val="nil"/>
              <w:right w:val="nil"/>
            </w:tcBorders>
          </w:tcPr>
          <w:p w14:paraId="66AD7501" w14:textId="77777777" w:rsidR="008E0157"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0.022</w:t>
            </w:r>
          </w:p>
        </w:tc>
        <w:tc>
          <w:tcPr>
            <w:tcW w:w="1710" w:type="dxa"/>
            <w:tcBorders>
              <w:top w:val="nil"/>
              <w:left w:val="nil"/>
              <w:bottom w:val="nil"/>
              <w:right w:val="nil"/>
            </w:tcBorders>
          </w:tcPr>
          <w:p w14:paraId="276E9F2D" w14:textId="77777777" w:rsidR="008E0157"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0.015</w:t>
            </w:r>
          </w:p>
        </w:tc>
      </w:tr>
      <w:tr w:rsidR="008E0157" w:rsidRPr="005121DA" w14:paraId="2F08241C" w14:textId="77777777" w:rsidTr="00F061A3">
        <w:trPr>
          <w:trHeight w:val="274"/>
          <w:jc w:val="center"/>
        </w:trPr>
        <w:tc>
          <w:tcPr>
            <w:tcW w:w="2835" w:type="dxa"/>
            <w:tcBorders>
              <w:top w:val="nil"/>
              <w:left w:val="nil"/>
              <w:bottom w:val="nil"/>
              <w:right w:val="nil"/>
            </w:tcBorders>
          </w:tcPr>
          <w:p w14:paraId="18CCD6F8" w14:textId="77777777" w:rsidR="008E0157" w:rsidRPr="005121DA" w:rsidRDefault="008E0157" w:rsidP="00F061A3">
            <w:pPr>
              <w:spacing w:after="0" w:line="240" w:lineRule="auto"/>
              <w:rPr>
                <w:rFonts w:ascii="Times New Roman" w:hAnsi="Times New Roman"/>
                <w:color w:val="000000"/>
                <w:sz w:val="24"/>
                <w:szCs w:val="24"/>
              </w:rPr>
            </w:pPr>
          </w:p>
        </w:tc>
        <w:tc>
          <w:tcPr>
            <w:tcW w:w="1896" w:type="dxa"/>
            <w:tcBorders>
              <w:top w:val="nil"/>
              <w:left w:val="nil"/>
              <w:bottom w:val="nil"/>
              <w:right w:val="nil"/>
            </w:tcBorders>
          </w:tcPr>
          <w:p w14:paraId="055FB2BA" w14:textId="77777777" w:rsidR="008E0157"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(2.44)</w:t>
            </w:r>
          </w:p>
        </w:tc>
        <w:tc>
          <w:tcPr>
            <w:tcW w:w="1710" w:type="dxa"/>
            <w:tcBorders>
              <w:top w:val="nil"/>
              <w:left w:val="nil"/>
              <w:bottom w:val="nil"/>
              <w:right w:val="nil"/>
            </w:tcBorders>
          </w:tcPr>
          <w:p w14:paraId="435839C0" w14:textId="77777777" w:rsidR="008E0157"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(1.53)</w:t>
            </w:r>
          </w:p>
        </w:tc>
        <w:tc>
          <w:tcPr>
            <w:tcW w:w="1710" w:type="dxa"/>
            <w:tcBorders>
              <w:top w:val="nil"/>
              <w:left w:val="nil"/>
              <w:bottom w:val="nil"/>
              <w:right w:val="nil"/>
            </w:tcBorders>
          </w:tcPr>
          <w:p w14:paraId="2AAC4CB9" w14:textId="77777777" w:rsidR="008E0157"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(0.41)</w:t>
            </w:r>
          </w:p>
        </w:tc>
      </w:tr>
      <w:tr w:rsidR="008E0157" w:rsidRPr="005121DA" w14:paraId="26522AC7" w14:textId="77777777" w:rsidTr="00F061A3">
        <w:trPr>
          <w:trHeight w:val="274"/>
          <w:jc w:val="center"/>
        </w:trPr>
        <w:tc>
          <w:tcPr>
            <w:tcW w:w="2835" w:type="dxa"/>
            <w:tcBorders>
              <w:top w:val="nil"/>
              <w:left w:val="nil"/>
              <w:bottom w:val="nil"/>
              <w:right w:val="nil"/>
            </w:tcBorders>
          </w:tcPr>
          <w:p w14:paraId="665E03E9" w14:textId="77777777" w:rsidR="008E0157" w:rsidRPr="005121DA" w:rsidRDefault="008E0157" w:rsidP="00F061A3">
            <w:pPr>
              <w:spacing w:after="0" w:line="240" w:lineRule="auto"/>
              <w:rPr>
                <w:rFonts w:ascii="Times New Roman" w:hAnsi="Times New Roman"/>
                <w:color w:val="000000"/>
                <w:sz w:val="24"/>
                <w:szCs w:val="24"/>
              </w:rPr>
            </w:pPr>
            <w:r>
              <w:rPr>
                <w:rFonts w:ascii="Times New Roman" w:hAnsi="Times New Roman" w:cs="Times New Roman"/>
                <w:sz w:val="24"/>
                <w:szCs w:val="24"/>
              </w:rPr>
              <w:t>LEVERAGE</w:t>
            </w:r>
          </w:p>
        </w:tc>
        <w:tc>
          <w:tcPr>
            <w:tcW w:w="1896" w:type="dxa"/>
            <w:tcBorders>
              <w:top w:val="nil"/>
              <w:left w:val="nil"/>
              <w:bottom w:val="nil"/>
              <w:right w:val="nil"/>
            </w:tcBorders>
          </w:tcPr>
          <w:p w14:paraId="3FC8F542" w14:textId="77777777" w:rsidR="008E0157"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0.171</w:t>
            </w:r>
          </w:p>
        </w:tc>
        <w:tc>
          <w:tcPr>
            <w:tcW w:w="1710" w:type="dxa"/>
            <w:tcBorders>
              <w:top w:val="nil"/>
              <w:left w:val="nil"/>
              <w:bottom w:val="nil"/>
              <w:right w:val="nil"/>
            </w:tcBorders>
          </w:tcPr>
          <w:p w14:paraId="1B75C93C" w14:textId="77777777" w:rsidR="008E0157"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-0.015</w:t>
            </w:r>
          </w:p>
        </w:tc>
        <w:tc>
          <w:tcPr>
            <w:tcW w:w="1710" w:type="dxa"/>
            <w:tcBorders>
              <w:top w:val="nil"/>
              <w:left w:val="nil"/>
              <w:bottom w:val="nil"/>
              <w:right w:val="nil"/>
            </w:tcBorders>
          </w:tcPr>
          <w:p w14:paraId="10B5B7A0" w14:textId="77777777" w:rsidR="008E0157"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0.113</w:t>
            </w:r>
          </w:p>
        </w:tc>
      </w:tr>
      <w:tr w:rsidR="008E0157" w:rsidRPr="005121DA" w14:paraId="137E37DD" w14:textId="77777777" w:rsidTr="00F061A3">
        <w:trPr>
          <w:trHeight w:val="274"/>
          <w:jc w:val="center"/>
        </w:trPr>
        <w:tc>
          <w:tcPr>
            <w:tcW w:w="2835" w:type="dxa"/>
            <w:tcBorders>
              <w:top w:val="nil"/>
              <w:left w:val="nil"/>
              <w:bottom w:val="nil"/>
              <w:right w:val="nil"/>
            </w:tcBorders>
          </w:tcPr>
          <w:p w14:paraId="393FC9DE" w14:textId="77777777" w:rsidR="008E0157" w:rsidRPr="005121DA" w:rsidRDefault="008E0157" w:rsidP="00F061A3">
            <w:pPr>
              <w:spacing w:after="0" w:line="240" w:lineRule="auto"/>
              <w:rPr>
                <w:rFonts w:ascii="Times New Roman" w:hAnsi="Times New Roman"/>
                <w:color w:val="000000"/>
                <w:sz w:val="24"/>
                <w:szCs w:val="24"/>
              </w:rPr>
            </w:pPr>
          </w:p>
        </w:tc>
        <w:tc>
          <w:tcPr>
            <w:tcW w:w="1896" w:type="dxa"/>
            <w:tcBorders>
              <w:top w:val="nil"/>
              <w:left w:val="nil"/>
              <w:bottom w:val="nil"/>
              <w:right w:val="nil"/>
            </w:tcBorders>
          </w:tcPr>
          <w:p w14:paraId="5F301E9E" w14:textId="77777777" w:rsidR="008E0157"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(0.26)</w:t>
            </w:r>
          </w:p>
        </w:tc>
        <w:tc>
          <w:tcPr>
            <w:tcW w:w="1710" w:type="dxa"/>
            <w:tcBorders>
              <w:top w:val="nil"/>
              <w:left w:val="nil"/>
              <w:bottom w:val="nil"/>
              <w:right w:val="nil"/>
            </w:tcBorders>
          </w:tcPr>
          <w:p w14:paraId="54136C7D" w14:textId="77777777" w:rsidR="008E0157"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(-0.25)</w:t>
            </w:r>
          </w:p>
        </w:tc>
        <w:tc>
          <w:tcPr>
            <w:tcW w:w="1710" w:type="dxa"/>
            <w:tcBorders>
              <w:top w:val="nil"/>
              <w:left w:val="nil"/>
              <w:bottom w:val="nil"/>
              <w:right w:val="nil"/>
            </w:tcBorders>
          </w:tcPr>
          <w:p w14:paraId="0835D021" w14:textId="77777777" w:rsidR="008E0157"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(0.66)</w:t>
            </w:r>
          </w:p>
        </w:tc>
      </w:tr>
      <w:tr w:rsidR="008E0157" w:rsidRPr="005121DA" w14:paraId="21679F12" w14:textId="77777777" w:rsidTr="00F061A3">
        <w:trPr>
          <w:trHeight w:val="274"/>
          <w:jc w:val="center"/>
        </w:trPr>
        <w:tc>
          <w:tcPr>
            <w:tcW w:w="2835" w:type="dxa"/>
            <w:tcBorders>
              <w:top w:val="nil"/>
              <w:left w:val="nil"/>
              <w:bottom w:val="nil"/>
              <w:right w:val="nil"/>
            </w:tcBorders>
          </w:tcPr>
          <w:p w14:paraId="6C31E3C3" w14:textId="77777777" w:rsidR="008E0157" w:rsidRPr="005121DA" w:rsidRDefault="008E0157" w:rsidP="00F061A3">
            <w:pPr>
              <w:spacing w:after="0" w:line="240" w:lineRule="auto"/>
              <w:rPr>
                <w:rFonts w:ascii="Times New Roman" w:hAnsi="Times New Roman"/>
                <w:color w:val="000000"/>
                <w:sz w:val="24"/>
                <w:szCs w:val="24"/>
              </w:rPr>
            </w:pPr>
            <w:r>
              <w:rPr>
                <w:rFonts w:ascii="Times New Roman" w:hAnsi="Times New Roman" w:cs="Times New Roman"/>
                <w:sz w:val="24"/>
                <w:szCs w:val="24"/>
              </w:rPr>
              <w:t>CFO</w:t>
            </w:r>
          </w:p>
        </w:tc>
        <w:tc>
          <w:tcPr>
            <w:tcW w:w="1896" w:type="dxa"/>
            <w:tcBorders>
              <w:top w:val="nil"/>
              <w:left w:val="nil"/>
              <w:bottom w:val="nil"/>
              <w:right w:val="nil"/>
            </w:tcBorders>
          </w:tcPr>
          <w:p w14:paraId="50FB9ECF" w14:textId="77777777" w:rsidR="008E0157"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5.911***</w:t>
            </w:r>
          </w:p>
        </w:tc>
        <w:tc>
          <w:tcPr>
            <w:tcW w:w="1710" w:type="dxa"/>
            <w:tcBorders>
              <w:top w:val="nil"/>
              <w:left w:val="nil"/>
              <w:bottom w:val="nil"/>
              <w:right w:val="nil"/>
            </w:tcBorders>
          </w:tcPr>
          <w:p w14:paraId="6008457C" w14:textId="77777777" w:rsidR="008E0157"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0.326*</w:t>
            </w:r>
          </w:p>
        </w:tc>
        <w:tc>
          <w:tcPr>
            <w:tcW w:w="1710" w:type="dxa"/>
            <w:tcBorders>
              <w:top w:val="nil"/>
              <w:left w:val="nil"/>
              <w:bottom w:val="nil"/>
              <w:right w:val="nil"/>
            </w:tcBorders>
          </w:tcPr>
          <w:p w14:paraId="385EA188" w14:textId="77777777" w:rsidR="008E0157"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0.240</w:t>
            </w:r>
          </w:p>
        </w:tc>
      </w:tr>
      <w:tr w:rsidR="008E0157" w:rsidRPr="005121DA" w14:paraId="2949FAC5" w14:textId="77777777" w:rsidTr="00F061A3">
        <w:trPr>
          <w:trHeight w:val="274"/>
          <w:jc w:val="center"/>
        </w:trPr>
        <w:tc>
          <w:tcPr>
            <w:tcW w:w="2835" w:type="dxa"/>
            <w:tcBorders>
              <w:top w:val="nil"/>
              <w:left w:val="nil"/>
              <w:bottom w:val="nil"/>
              <w:right w:val="nil"/>
            </w:tcBorders>
          </w:tcPr>
          <w:p w14:paraId="1F4E4604" w14:textId="77777777" w:rsidR="008E0157" w:rsidRPr="005121DA" w:rsidRDefault="008E0157" w:rsidP="00F061A3">
            <w:pPr>
              <w:spacing w:after="0" w:line="240" w:lineRule="auto"/>
              <w:rPr>
                <w:rFonts w:ascii="Times New Roman" w:hAnsi="Times New Roman"/>
                <w:color w:val="000000"/>
                <w:sz w:val="24"/>
                <w:szCs w:val="24"/>
              </w:rPr>
            </w:pPr>
          </w:p>
        </w:tc>
        <w:tc>
          <w:tcPr>
            <w:tcW w:w="1896" w:type="dxa"/>
            <w:tcBorders>
              <w:top w:val="nil"/>
              <w:left w:val="nil"/>
              <w:bottom w:val="nil"/>
              <w:right w:val="nil"/>
            </w:tcBorders>
          </w:tcPr>
          <w:p w14:paraId="18E0BE14" w14:textId="77777777" w:rsidR="008E0157"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(3.13)</w:t>
            </w:r>
          </w:p>
        </w:tc>
        <w:tc>
          <w:tcPr>
            <w:tcW w:w="1710" w:type="dxa"/>
            <w:tcBorders>
              <w:top w:val="nil"/>
              <w:left w:val="nil"/>
              <w:bottom w:val="nil"/>
              <w:right w:val="nil"/>
            </w:tcBorders>
          </w:tcPr>
          <w:p w14:paraId="00E8C8B5" w14:textId="77777777" w:rsidR="008E0157"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(1.86)</w:t>
            </w:r>
          </w:p>
        </w:tc>
        <w:tc>
          <w:tcPr>
            <w:tcW w:w="1710" w:type="dxa"/>
            <w:tcBorders>
              <w:top w:val="nil"/>
              <w:left w:val="nil"/>
              <w:bottom w:val="nil"/>
              <w:right w:val="nil"/>
            </w:tcBorders>
          </w:tcPr>
          <w:p w14:paraId="7D686725" w14:textId="77777777" w:rsidR="008E0157"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(0.81)</w:t>
            </w:r>
          </w:p>
        </w:tc>
      </w:tr>
      <w:tr w:rsidR="008E0157" w:rsidRPr="005121DA" w14:paraId="7BD6666F" w14:textId="77777777" w:rsidTr="00F061A3">
        <w:trPr>
          <w:trHeight w:val="274"/>
          <w:jc w:val="center"/>
        </w:trPr>
        <w:tc>
          <w:tcPr>
            <w:tcW w:w="2835" w:type="dxa"/>
            <w:tcBorders>
              <w:top w:val="nil"/>
              <w:left w:val="nil"/>
              <w:bottom w:val="nil"/>
              <w:right w:val="nil"/>
            </w:tcBorders>
          </w:tcPr>
          <w:p w14:paraId="16260E0B" w14:textId="77777777" w:rsidR="008E0157" w:rsidRPr="005121DA" w:rsidRDefault="008E0157" w:rsidP="00F061A3">
            <w:pPr>
              <w:spacing w:after="0" w:line="240" w:lineRule="auto"/>
              <w:rPr>
                <w:rFonts w:ascii="Times New Roman" w:hAnsi="Times New Roman"/>
                <w:color w:val="000000"/>
                <w:sz w:val="24"/>
                <w:szCs w:val="24"/>
              </w:rPr>
            </w:pPr>
            <w:r>
              <w:rPr>
                <w:rFonts w:ascii="Times New Roman" w:hAnsi="Times New Roman" w:cs="Times New Roman"/>
                <w:sz w:val="24"/>
                <w:szCs w:val="24"/>
              </w:rPr>
              <w:t>CASHEQ</w:t>
            </w:r>
          </w:p>
        </w:tc>
        <w:tc>
          <w:tcPr>
            <w:tcW w:w="1896" w:type="dxa"/>
            <w:tcBorders>
              <w:top w:val="nil"/>
              <w:left w:val="nil"/>
              <w:bottom w:val="nil"/>
              <w:right w:val="nil"/>
            </w:tcBorders>
          </w:tcPr>
          <w:p w14:paraId="4CF5717F" w14:textId="77777777" w:rsidR="008E0157"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-3.753**</w:t>
            </w:r>
          </w:p>
        </w:tc>
        <w:tc>
          <w:tcPr>
            <w:tcW w:w="1710" w:type="dxa"/>
            <w:tcBorders>
              <w:top w:val="nil"/>
              <w:left w:val="nil"/>
              <w:bottom w:val="nil"/>
              <w:right w:val="nil"/>
            </w:tcBorders>
          </w:tcPr>
          <w:p w14:paraId="7F0FE322" w14:textId="77777777" w:rsidR="008E0157"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-0.281</w:t>
            </w:r>
          </w:p>
        </w:tc>
        <w:tc>
          <w:tcPr>
            <w:tcW w:w="1710" w:type="dxa"/>
            <w:tcBorders>
              <w:top w:val="nil"/>
              <w:left w:val="nil"/>
              <w:bottom w:val="nil"/>
              <w:right w:val="nil"/>
            </w:tcBorders>
          </w:tcPr>
          <w:p w14:paraId="1F8992EE" w14:textId="77777777" w:rsidR="008E0157"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-0.357</w:t>
            </w:r>
          </w:p>
        </w:tc>
      </w:tr>
      <w:tr w:rsidR="008E0157" w:rsidRPr="005121DA" w14:paraId="59331E4E" w14:textId="77777777" w:rsidTr="00F061A3">
        <w:trPr>
          <w:trHeight w:val="274"/>
          <w:jc w:val="center"/>
        </w:trPr>
        <w:tc>
          <w:tcPr>
            <w:tcW w:w="2835" w:type="dxa"/>
            <w:tcBorders>
              <w:top w:val="nil"/>
              <w:left w:val="nil"/>
              <w:bottom w:val="nil"/>
              <w:right w:val="nil"/>
            </w:tcBorders>
            <w:vAlign w:val="center"/>
          </w:tcPr>
          <w:p w14:paraId="6B24B672" w14:textId="77777777" w:rsidR="008E0157" w:rsidRPr="005121DA" w:rsidRDefault="008E0157" w:rsidP="00F061A3">
            <w:pPr>
              <w:spacing w:after="0" w:line="240" w:lineRule="auto"/>
              <w:jc w:val="center"/>
              <w:rPr>
                <w:rFonts w:ascii="Times New Roman" w:hAnsi="Times New Roman"/>
                <w:color w:val="000000"/>
                <w:sz w:val="24"/>
                <w:szCs w:val="24"/>
              </w:rPr>
            </w:pPr>
          </w:p>
        </w:tc>
        <w:tc>
          <w:tcPr>
            <w:tcW w:w="1896" w:type="dxa"/>
            <w:tcBorders>
              <w:top w:val="nil"/>
              <w:left w:val="nil"/>
              <w:bottom w:val="nil"/>
              <w:right w:val="nil"/>
            </w:tcBorders>
          </w:tcPr>
          <w:p w14:paraId="7A7812A5" w14:textId="77777777" w:rsidR="008E0157"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c>
          <w:tcPr>
            <w:tcW w:w="1710" w:type="dxa"/>
            <w:tcBorders>
              <w:top w:val="nil"/>
              <w:left w:val="nil"/>
              <w:bottom w:val="nil"/>
              <w:right w:val="nil"/>
            </w:tcBorders>
          </w:tcPr>
          <w:p w14:paraId="6B703F0C" w14:textId="77777777" w:rsidR="008E0157"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(-1.53)</w:t>
            </w:r>
          </w:p>
        </w:tc>
        <w:tc>
          <w:tcPr>
            <w:tcW w:w="1710" w:type="dxa"/>
            <w:tcBorders>
              <w:top w:val="nil"/>
              <w:left w:val="nil"/>
              <w:bottom w:val="nil"/>
              <w:right w:val="nil"/>
            </w:tcBorders>
          </w:tcPr>
          <w:p w14:paraId="4C2F99FB" w14:textId="77777777" w:rsidR="008E0157" w:rsidRDefault="008E0157" w:rsidP="00F061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(-1.59)</w:t>
            </w:r>
          </w:p>
        </w:tc>
      </w:tr>
      <w:tr w:rsidR="008E0157" w:rsidRPr="005121DA" w14:paraId="21FE43BC" w14:textId="77777777" w:rsidTr="00F061A3">
        <w:trPr>
          <w:trHeight w:val="274"/>
          <w:jc w:val="center"/>
        </w:trPr>
        <w:tc>
          <w:tcPr>
            <w:tcW w:w="2835" w:type="dxa"/>
            <w:tcBorders>
              <w:top w:val="nil"/>
              <w:left w:val="nil"/>
              <w:bottom w:val="nil"/>
              <w:right w:val="nil"/>
            </w:tcBorders>
            <w:vAlign w:val="center"/>
            <w:hideMark/>
          </w:tcPr>
          <w:p w14:paraId="191E744C" w14:textId="77777777" w:rsidR="008E0157" w:rsidRPr="005121DA" w:rsidRDefault="008E0157" w:rsidP="00F061A3">
            <w:pPr>
              <w:spacing w:after="0" w:line="240" w:lineRule="auto"/>
              <w:jc w:val="center"/>
              <w:rPr>
                <w:rFonts w:ascii="Times New Roman" w:hAnsi="Times New Roman"/>
                <w:color w:val="000000"/>
                <w:sz w:val="24"/>
                <w:szCs w:val="24"/>
              </w:rPr>
            </w:pPr>
          </w:p>
        </w:tc>
        <w:tc>
          <w:tcPr>
            <w:tcW w:w="1896" w:type="dxa"/>
            <w:tcBorders>
              <w:top w:val="nil"/>
              <w:left w:val="nil"/>
              <w:bottom w:val="nil"/>
              <w:right w:val="nil"/>
            </w:tcBorders>
          </w:tcPr>
          <w:p w14:paraId="406058E8" w14:textId="77777777" w:rsidR="008E0157" w:rsidRPr="005121DA" w:rsidRDefault="008E0157" w:rsidP="00F061A3">
            <w:pPr>
              <w:spacing w:after="0" w:line="240" w:lineRule="auto"/>
              <w:rPr>
                <w:rFonts w:ascii="Times New Roman" w:hAnsi="Times New Roman"/>
                <w:sz w:val="20"/>
                <w:szCs w:val="20"/>
              </w:rPr>
            </w:pPr>
          </w:p>
        </w:tc>
        <w:tc>
          <w:tcPr>
            <w:tcW w:w="1710" w:type="dxa"/>
            <w:tcBorders>
              <w:top w:val="nil"/>
              <w:left w:val="nil"/>
              <w:bottom w:val="nil"/>
              <w:right w:val="nil"/>
            </w:tcBorders>
          </w:tcPr>
          <w:p w14:paraId="4B3F9931" w14:textId="77777777" w:rsidR="008E0157" w:rsidRPr="005121DA" w:rsidRDefault="008E0157" w:rsidP="00F061A3">
            <w:pPr>
              <w:spacing w:after="0" w:line="240" w:lineRule="auto"/>
              <w:jc w:val="center"/>
              <w:rPr>
                <w:rFonts w:ascii="Times New Roman" w:hAnsi="Times New Roman"/>
                <w:sz w:val="20"/>
                <w:szCs w:val="20"/>
              </w:rPr>
            </w:pPr>
          </w:p>
        </w:tc>
        <w:tc>
          <w:tcPr>
            <w:tcW w:w="1710" w:type="dxa"/>
            <w:tcBorders>
              <w:top w:val="nil"/>
              <w:left w:val="nil"/>
              <w:bottom w:val="nil"/>
              <w:right w:val="nil"/>
            </w:tcBorders>
          </w:tcPr>
          <w:p w14:paraId="61E4CFA1" w14:textId="77777777" w:rsidR="008E0157" w:rsidRPr="005121DA" w:rsidRDefault="008E0157" w:rsidP="00F061A3">
            <w:pPr>
              <w:spacing w:after="0" w:line="240" w:lineRule="auto"/>
              <w:jc w:val="center"/>
              <w:rPr>
                <w:rFonts w:ascii="Times New Roman" w:hAnsi="Times New Roman"/>
                <w:sz w:val="20"/>
                <w:szCs w:val="20"/>
              </w:rPr>
            </w:pPr>
          </w:p>
        </w:tc>
      </w:tr>
      <w:tr w:rsidR="008E0157" w:rsidRPr="005121DA" w14:paraId="3180A0AB" w14:textId="77777777" w:rsidTr="00F061A3">
        <w:trPr>
          <w:trHeight w:val="274"/>
          <w:jc w:val="center"/>
        </w:trPr>
        <w:tc>
          <w:tcPr>
            <w:tcW w:w="2835" w:type="dxa"/>
            <w:tcBorders>
              <w:top w:val="nil"/>
              <w:left w:val="nil"/>
              <w:bottom w:val="nil"/>
              <w:right w:val="nil"/>
            </w:tcBorders>
            <w:vAlign w:val="center"/>
            <w:hideMark/>
          </w:tcPr>
          <w:p w14:paraId="32793A85" w14:textId="77777777" w:rsidR="008E0157" w:rsidRPr="005121DA" w:rsidRDefault="008E0157" w:rsidP="00F061A3">
            <w:pPr>
              <w:spacing w:after="0" w:line="240" w:lineRule="auto"/>
              <w:rPr>
                <w:rFonts w:ascii="Times New Roman" w:hAnsi="Times New Roman"/>
                <w:color w:val="000000"/>
                <w:sz w:val="24"/>
                <w:szCs w:val="24"/>
              </w:rPr>
            </w:pPr>
            <w:r w:rsidRPr="005121DA">
              <w:rPr>
                <w:rFonts w:ascii="Times New Roman" w:hAnsi="Times New Roman"/>
                <w:color w:val="000000"/>
                <w:sz w:val="24"/>
                <w:szCs w:val="24"/>
              </w:rPr>
              <w:t>Observations</w:t>
            </w:r>
          </w:p>
        </w:tc>
        <w:tc>
          <w:tcPr>
            <w:tcW w:w="1896" w:type="dxa"/>
            <w:tcBorders>
              <w:top w:val="nil"/>
              <w:left w:val="nil"/>
              <w:bottom w:val="nil"/>
              <w:right w:val="nil"/>
            </w:tcBorders>
            <w:hideMark/>
          </w:tcPr>
          <w:p w14:paraId="6FC6D522" w14:textId="77777777" w:rsidR="008E0157" w:rsidRPr="005121DA" w:rsidRDefault="008E0157" w:rsidP="00F061A3">
            <w:pPr>
              <w:spacing w:after="0" w:line="240" w:lineRule="auto"/>
              <w:jc w:val="center"/>
              <w:rPr>
                <w:rFonts w:ascii="Times New Roman" w:hAnsi="Times New Roman"/>
                <w:sz w:val="20"/>
                <w:szCs w:val="20"/>
              </w:rPr>
            </w:pPr>
            <w:r w:rsidRPr="00B53604">
              <w:rPr>
                <w:rFonts w:ascii="Times New Roman" w:hAnsi="Times New Roman" w:cs="Times New Roman"/>
                <w:sz w:val="24"/>
                <w:szCs w:val="24"/>
              </w:rPr>
              <w:t>160</w:t>
            </w:r>
          </w:p>
        </w:tc>
        <w:tc>
          <w:tcPr>
            <w:tcW w:w="1710" w:type="dxa"/>
            <w:tcBorders>
              <w:top w:val="nil"/>
              <w:left w:val="nil"/>
              <w:bottom w:val="nil"/>
              <w:right w:val="nil"/>
            </w:tcBorders>
            <w:hideMark/>
          </w:tcPr>
          <w:p w14:paraId="39EB6ADE" w14:textId="77777777" w:rsidR="008E0157" w:rsidRPr="005121DA" w:rsidRDefault="008E0157" w:rsidP="00F061A3">
            <w:pPr>
              <w:spacing w:after="0" w:line="240" w:lineRule="auto"/>
              <w:jc w:val="center"/>
              <w:rPr>
                <w:rFonts w:ascii="Times New Roman" w:hAnsi="Times New Roman"/>
                <w:sz w:val="20"/>
                <w:szCs w:val="20"/>
              </w:rPr>
            </w:pPr>
            <w:r w:rsidRPr="00B53604">
              <w:rPr>
                <w:rFonts w:ascii="Times New Roman" w:hAnsi="Times New Roman" w:cs="Times New Roman"/>
                <w:sz w:val="24"/>
                <w:szCs w:val="24"/>
              </w:rPr>
              <w:t>160</w:t>
            </w:r>
          </w:p>
        </w:tc>
        <w:tc>
          <w:tcPr>
            <w:tcW w:w="1710" w:type="dxa"/>
            <w:tcBorders>
              <w:top w:val="nil"/>
              <w:left w:val="nil"/>
              <w:bottom w:val="nil"/>
              <w:right w:val="nil"/>
            </w:tcBorders>
          </w:tcPr>
          <w:p w14:paraId="176FA7AF" w14:textId="77777777" w:rsidR="008E0157" w:rsidRPr="005121DA" w:rsidRDefault="008E0157" w:rsidP="00F061A3">
            <w:pPr>
              <w:spacing w:after="0" w:line="240" w:lineRule="auto"/>
              <w:jc w:val="center"/>
              <w:rPr>
                <w:rFonts w:ascii="Times New Roman" w:hAnsi="Times New Roman"/>
                <w:sz w:val="20"/>
                <w:szCs w:val="20"/>
              </w:rPr>
            </w:pPr>
            <w:r w:rsidRPr="00B53604">
              <w:rPr>
                <w:rFonts w:ascii="Times New Roman" w:hAnsi="Times New Roman" w:cs="Times New Roman"/>
                <w:sz w:val="24"/>
                <w:szCs w:val="24"/>
              </w:rPr>
              <w:t>160</w:t>
            </w:r>
          </w:p>
        </w:tc>
      </w:tr>
      <w:tr w:rsidR="008E0157" w:rsidRPr="005121DA" w14:paraId="4CD85348" w14:textId="77777777" w:rsidTr="00F061A3">
        <w:trPr>
          <w:trHeight w:val="274"/>
          <w:jc w:val="center"/>
        </w:trPr>
        <w:tc>
          <w:tcPr>
            <w:tcW w:w="2835" w:type="dxa"/>
            <w:tcBorders>
              <w:top w:val="nil"/>
              <w:left w:val="nil"/>
              <w:bottom w:val="nil"/>
              <w:right w:val="nil"/>
            </w:tcBorders>
            <w:vAlign w:val="center"/>
          </w:tcPr>
          <w:p w14:paraId="2EA08D86" w14:textId="77777777" w:rsidR="008E0157" w:rsidRPr="00FE3539" w:rsidRDefault="008E0157" w:rsidP="00F061A3">
            <w:pPr>
              <w:spacing w:after="0" w:line="240" w:lineRule="auto"/>
              <w:rPr>
                <w:rFonts w:ascii="Times New Roman" w:hAnsi="Times New Roman"/>
                <w:color w:val="000000"/>
                <w:sz w:val="24"/>
                <w:szCs w:val="24"/>
              </w:rPr>
            </w:pPr>
            <w:r w:rsidRPr="00FE3539">
              <w:rPr>
                <w:rFonts w:ascii="Times New Roman" w:hAnsi="Times New Roman"/>
                <w:color w:val="000000"/>
                <w:sz w:val="24"/>
                <w:szCs w:val="24"/>
              </w:rPr>
              <w:t>Firm FE</w:t>
            </w:r>
          </w:p>
        </w:tc>
        <w:tc>
          <w:tcPr>
            <w:tcW w:w="1896" w:type="dxa"/>
            <w:tcBorders>
              <w:top w:val="nil"/>
              <w:left w:val="nil"/>
              <w:bottom w:val="nil"/>
              <w:right w:val="nil"/>
            </w:tcBorders>
            <w:vAlign w:val="center"/>
          </w:tcPr>
          <w:p w14:paraId="60621981" w14:textId="7B6E8738" w:rsidR="008E0157" w:rsidRPr="00FE3539" w:rsidRDefault="00FC324C" w:rsidP="00F061A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Included</w:t>
            </w:r>
          </w:p>
        </w:tc>
        <w:tc>
          <w:tcPr>
            <w:tcW w:w="1710" w:type="dxa"/>
            <w:tcBorders>
              <w:top w:val="nil"/>
              <w:left w:val="nil"/>
              <w:bottom w:val="nil"/>
              <w:right w:val="nil"/>
            </w:tcBorders>
            <w:vAlign w:val="center"/>
          </w:tcPr>
          <w:p w14:paraId="2E79632C" w14:textId="5A465BEA" w:rsidR="008E0157" w:rsidRPr="00FE3539" w:rsidRDefault="00FC324C" w:rsidP="00F061A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Included</w:t>
            </w:r>
          </w:p>
        </w:tc>
        <w:tc>
          <w:tcPr>
            <w:tcW w:w="1710" w:type="dxa"/>
            <w:tcBorders>
              <w:top w:val="nil"/>
              <w:left w:val="nil"/>
              <w:bottom w:val="nil"/>
              <w:right w:val="nil"/>
            </w:tcBorders>
            <w:vAlign w:val="center"/>
          </w:tcPr>
          <w:p w14:paraId="01DE6BC0" w14:textId="7C9061DD" w:rsidR="008E0157" w:rsidRPr="00FE3539" w:rsidRDefault="00601728" w:rsidP="0060172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Included</w:t>
            </w:r>
          </w:p>
        </w:tc>
      </w:tr>
      <w:tr w:rsidR="008E0157" w:rsidRPr="005121DA" w14:paraId="5E060911" w14:textId="77777777" w:rsidTr="00F061A3">
        <w:trPr>
          <w:trHeight w:val="274"/>
          <w:jc w:val="center"/>
        </w:trPr>
        <w:tc>
          <w:tcPr>
            <w:tcW w:w="2835" w:type="dxa"/>
            <w:tcBorders>
              <w:top w:val="nil"/>
              <w:left w:val="nil"/>
              <w:bottom w:val="nil"/>
              <w:right w:val="nil"/>
            </w:tcBorders>
            <w:vAlign w:val="center"/>
          </w:tcPr>
          <w:p w14:paraId="21FFC348" w14:textId="4A074F80" w:rsidR="008E0157" w:rsidRPr="005121DA" w:rsidRDefault="00FE3539" w:rsidP="00F061A3">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Year FE </w:t>
            </w:r>
          </w:p>
        </w:tc>
        <w:tc>
          <w:tcPr>
            <w:tcW w:w="1896" w:type="dxa"/>
            <w:tcBorders>
              <w:top w:val="nil"/>
              <w:left w:val="nil"/>
              <w:bottom w:val="nil"/>
              <w:right w:val="nil"/>
            </w:tcBorders>
            <w:vAlign w:val="center"/>
          </w:tcPr>
          <w:p w14:paraId="6BF36EA1" w14:textId="77777777" w:rsidR="008E0157" w:rsidRPr="005121DA" w:rsidRDefault="008E0157" w:rsidP="00F061A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Included</w:t>
            </w:r>
          </w:p>
        </w:tc>
        <w:tc>
          <w:tcPr>
            <w:tcW w:w="1710" w:type="dxa"/>
            <w:tcBorders>
              <w:top w:val="nil"/>
              <w:left w:val="nil"/>
              <w:bottom w:val="nil"/>
              <w:right w:val="nil"/>
            </w:tcBorders>
            <w:vAlign w:val="center"/>
          </w:tcPr>
          <w:p w14:paraId="74E80FA5" w14:textId="77777777" w:rsidR="008E0157" w:rsidRPr="005121DA" w:rsidRDefault="008E0157" w:rsidP="00F061A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Included</w:t>
            </w:r>
          </w:p>
        </w:tc>
        <w:tc>
          <w:tcPr>
            <w:tcW w:w="1710" w:type="dxa"/>
            <w:tcBorders>
              <w:top w:val="nil"/>
              <w:left w:val="nil"/>
              <w:bottom w:val="nil"/>
              <w:right w:val="nil"/>
            </w:tcBorders>
            <w:vAlign w:val="center"/>
          </w:tcPr>
          <w:p w14:paraId="05AD2235" w14:textId="77777777" w:rsidR="008E0157" w:rsidRDefault="008E0157" w:rsidP="00F061A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Included</w:t>
            </w:r>
          </w:p>
        </w:tc>
      </w:tr>
      <w:tr w:rsidR="008E0157" w:rsidRPr="005121DA" w14:paraId="75342D36" w14:textId="77777777" w:rsidTr="00F061A3">
        <w:trPr>
          <w:trHeight w:val="274"/>
          <w:jc w:val="center"/>
        </w:trPr>
        <w:tc>
          <w:tcPr>
            <w:tcW w:w="2835" w:type="dxa"/>
            <w:tcBorders>
              <w:top w:val="nil"/>
              <w:left w:val="nil"/>
              <w:bottom w:val="nil"/>
              <w:right w:val="nil"/>
            </w:tcBorders>
            <w:vAlign w:val="center"/>
            <w:hideMark/>
          </w:tcPr>
          <w:p w14:paraId="2896CBC3" w14:textId="77777777" w:rsidR="008E0157" w:rsidRPr="005121DA" w:rsidRDefault="008E0157" w:rsidP="00F061A3">
            <w:pPr>
              <w:spacing w:after="0" w:line="240" w:lineRule="auto"/>
              <w:rPr>
                <w:rFonts w:ascii="Times New Roman" w:hAnsi="Times New Roman"/>
                <w:color w:val="000000"/>
                <w:sz w:val="24"/>
                <w:szCs w:val="24"/>
              </w:rPr>
            </w:pPr>
            <w:r w:rsidRPr="005121DA">
              <w:rPr>
                <w:rFonts w:ascii="Times New Roman" w:hAnsi="Times New Roman"/>
                <w:color w:val="000000"/>
                <w:sz w:val="24"/>
                <w:szCs w:val="24"/>
              </w:rPr>
              <w:t>Adj. R-squared</w:t>
            </w:r>
          </w:p>
        </w:tc>
        <w:tc>
          <w:tcPr>
            <w:tcW w:w="1896" w:type="dxa"/>
            <w:tcBorders>
              <w:top w:val="nil"/>
              <w:left w:val="nil"/>
              <w:bottom w:val="nil"/>
              <w:right w:val="nil"/>
            </w:tcBorders>
            <w:hideMark/>
          </w:tcPr>
          <w:p w14:paraId="3C13B19C" w14:textId="77777777" w:rsidR="008E0157" w:rsidRPr="005121DA" w:rsidRDefault="008E0157" w:rsidP="00F061A3">
            <w:pPr>
              <w:spacing w:after="0" w:line="240" w:lineRule="auto"/>
              <w:jc w:val="center"/>
              <w:rPr>
                <w:rFonts w:ascii="Times New Roman" w:hAnsi="Times New Roman"/>
                <w:color w:val="000000"/>
                <w:sz w:val="24"/>
                <w:szCs w:val="24"/>
              </w:rPr>
            </w:pPr>
            <w:r>
              <w:rPr>
                <w:rFonts w:ascii="Times New Roman" w:hAnsi="Times New Roman" w:cs="Times New Roman"/>
                <w:sz w:val="24"/>
                <w:szCs w:val="24"/>
              </w:rPr>
              <w:t>0.121</w:t>
            </w:r>
          </w:p>
        </w:tc>
        <w:tc>
          <w:tcPr>
            <w:tcW w:w="1710" w:type="dxa"/>
            <w:tcBorders>
              <w:top w:val="nil"/>
              <w:left w:val="nil"/>
              <w:bottom w:val="nil"/>
              <w:right w:val="nil"/>
            </w:tcBorders>
            <w:hideMark/>
          </w:tcPr>
          <w:p w14:paraId="5A91893C" w14:textId="77777777" w:rsidR="008E0157" w:rsidRPr="005121DA" w:rsidRDefault="008E0157" w:rsidP="00F061A3">
            <w:pPr>
              <w:spacing w:after="0" w:line="240" w:lineRule="auto"/>
              <w:jc w:val="center"/>
              <w:rPr>
                <w:rFonts w:ascii="Times New Roman" w:hAnsi="Times New Roman"/>
                <w:color w:val="000000"/>
                <w:sz w:val="24"/>
                <w:szCs w:val="24"/>
              </w:rPr>
            </w:pPr>
            <w:r>
              <w:rPr>
                <w:rFonts w:ascii="Times New Roman" w:hAnsi="Times New Roman" w:cs="Times New Roman"/>
                <w:sz w:val="24"/>
                <w:szCs w:val="24"/>
              </w:rPr>
              <w:t>0.385</w:t>
            </w:r>
          </w:p>
        </w:tc>
        <w:tc>
          <w:tcPr>
            <w:tcW w:w="1710" w:type="dxa"/>
            <w:tcBorders>
              <w:top w:val="nil"/>
              <w:left w:val="nil"/>
              <w:bottom w:val="nil"/>
              <w:right w:val="nil"/>
            </w:tcBorders>
          </w:tcPr>
          <w:p w14:paraId="1C4A9B4A" w14:textId="77777777" w:rsidR="008E0157" w:rsidRPr="005121DA" w:rsidRDefault="008E0157" w:rsidP="00F061A3">
            <w:pPr>
              <w:spacing w:after="0" w:line="240" w:lineRule="auto"/>
              <w:jc w:val="center"/>
              <w:rPr>
                <w:rFonts w:ascii="Times New Roman" w:hAnsi="Times New Roman"/>
                <w:color w:val="000000"/>
                <w:sz w:val="24"/>
                <w:szCs w:val="24"/>
              </w:rPr>
            </w:pPr>
            <w:r>
              <w:rPr>
                <w:rFonts w:ascii="Times New Roman" w:hAnsi="Times New Roman" w:cs="Times New Roman"/>
                <w:sz w:val="24"/>
                <w:szCs w:val="24"/>
              </w:rPr>
              <w:t>0.141</w:t>
            </w:r>
          </w:p>
        </w:tc>
      </w:tr>
      <w:tr w:rsidR="008E0157" w:rsidRPr="005121DA" w14:paraId="1D2CFBA1" w14:textId="77777777" w:rsidTr="00F061A3">
        <w:trPr>
          <w:trHeight w:val="274"/>
          <w:jc w:val="center"/>
        </w:trPr>
        <w:tc>
          <w:tcPr>
            <w:tcW w:w="2835" w:type="dxa"/>
            <w:tcBorders>
              <w:top w:val="nil"/>
              <w:left w:val="nil"/>
              <w:bottom w:val="nil"/>
              <w:right w:val="nil"/>
            </w:tcBorders>
            <w:vAlign w:val="center"/>
          </w:tcPr>
          <w:p w14:paraId="6DB76DD2" w14:textId="77777777" w:rsidR="008E0157" w:rsidRPr="005121DA" w:rsidRDefault="008E0157" w:rsidP="00F061A3">
            <w:pPr>
              <w:spacing w:after="0" w:line="240" w:lineRule="auto"/>
              <w:rPr>
                <w:rFonts w:ascii="Times New Roman" w:hAnsi="Times New Roman"/>
                <w:color w:val="000000"/>
                <w:sz w:val="24"/>
                <w:szCs w:val="24"/>
              </w:rPr>
            </w:pPr>
          </w:p>
        </w:tc>
        <w:tc>
          <w:tcPr>
            <w:tcW w:w="1896" w:type="dxa"/>
            <w:tcBorders>
              <w:top w:val="nil"/>
              <w:left w:val="nil"/>
              <w:bottom w:val="nil"/>
              <w:right w:val="nil"/>
            </w:tcBorders>
            <w:vAlign w:val="center"/>
          </w:tcPr>
          <w:p w14:paraId="30FCFF36" w14:textId="77777777" w:rsidR="008E0157" w:rsidRPr="005121DA" w:rsidRDefault="008E0157" w:rsidP="00F061A3">
            <w:pPr>
              <w:spacing w:after="0" w:line="240" w:lineRule="auto"/>
              <w:jc w:val="center"/>
              <w:rPr>
                <w:rFonts w:ascii="Times New Roman" w:hAnsi="Times New Roman"/>
                <w:color w:val="000000"/>
                <w:sz w:val="24"/>
                <w:szCs w:val="24"/>
              </w:rPr>
            </w:pPr>
          </w:p>
        </w:tc>
        <w:tc>
          <w:tcPr>
            <w:tcW w:w="1710" w:type="dxa"/>
            <w:tcBorders>
              <w:top w:val="nil"/>
              <w:left w:val="nil"/>
              <w:bottom w:val="nil"/>
              <w:right w:val="nil"/>
            </w:tcBorders>
            <w:vAlign w:val="center"/>
          </w:tcPr>
          <w:p w14:paraId="74D78013" w14:textId="77777777" w:rsidR="008E0157" w:rsidRPr="005121DA" w:rsidRDefault="008E0157" w:rsidP="00F061A3">
            <w:pPr>
              <w:spacing w:after="0" w:line="240" w:lineRule="auto"/>
              <w:jc w:val="center"/>
              <w:rPr>
                <w:rFonts w:ascii="Times New Roman" w:hAnsi="Times New Roman"/>
                <w:color w:val="000000"/>
                <w:sz w:val="24"/>
                <w:szCs w:val="24"/>
              </w:rPr>
            </w:pPr>
          </w:p>
        </w:tc>
        <w:tc>
          <w:tcPr>
            <w:tcW w:w="1710" w:type="dxa"/>
            <w:tcBorders>
              <w:top w:val="nil"/>
              <w:left w:val="nil"/>
              <w:bottom w:val="nil"/>
              <w:right w:val="nil"/>
            </w:tcBorders>
            <w:vAlign w:val="center"/>
          </w:tcPr>
          <w:p w14:paraId="0A59415B" w14:textId="77777777" w:rsidR="008E0157" w:rsidRPr="005121DA" w:rsidRDefault="008E0157" w:rsidP="00F061A3">
            <w:pPr>
              <w:spacing w:after="0" w:line="240" w:lineRule="auto"/>
              <w:jc w:val="center"/>
              <w:rPr>
                <w:rFonts w:ascii="Times New Roman" w:hAnsi="Times New Roman"/>
                <w:color w:val="000000"/>
                <w:sz w:val="24"/>
                <w:szCs w:val="24"/>
              </w:rPr>
            </w:pPr>
          </w:p>
        </w:tc>
      </w:tr>
    </w:tbl>
    <w:p w14:paraId="122D600F" w14:textId="71CAEC53" w:rsidR="008E0157" w:rsidRDefault="008E0157" w:rsidP="00AE251F">
      <w:pPr>
        <w:spacing w:line="240" w:lineRule="auto"/>
        <w:contextualSpacing/>
        <w:jc w:val="center"/>
        <w:rPr>
          <w:rFonts w:ascii="Times New Roman" w:hAnsi="Times New Roman"/>
          <w:sz w:val="24"/>
          <w:szCs w:val="24"/>
        </w:rPr>
      </w:pPr>
    </w:p>
    <w:p w14:paraId="10D913EE" w14:textId="77777777" w:rsidR="008E0157" w:rsidRDefault="008E0157" w:rsidP="00AE251F">
      <w:pPr>
        <w:spacing w:line="240" w:lineRule="auto"/>
        <w:contextualSpacing/>
        <w:jc w:val="center"/>
        <w:rPr>
          <w:rFonts w:ascii="Times New Roman" w:hAnsi="Times New Roman"/>
          <w:sz w:val="24"/>
          <w:szCs w:val="24"/>
        </w:rPr>
      </w:pPr>
    </w:p>
    <w:p w14:paraId="67ED4947" w14:textId="77777777" w:rsidR="00AE251F" w:rsidRPr="005121DA" w:rsidRDefault="00AE251F" w:rsidP="00AE251F">
      <w:pPr>
        <w:pBdr>
          <w:bottom w:val="single" w:sz="12" w:space="1" w:color="auto"/>
        </w:pBdr>
        <w:spacing w:line="240" w:lineRule="auto"/>
        <w:contextualSpacing/>
        <w:rPr>
          <w:rFonts w:ascii="Times New Roman" w:hAnsi="Times New Roman"/>
          <w:sz w:val="24"/>
          <w:szCs w:val="24"/>
        </w:rPr>
      </w:pPr>
    </w:p>
    <w:p w14:paraId="56F3CD34" w14:textId="6FB28BD8" w:rsidR="008A47BB" w:rsidRDefault="00AE251F" w:rsidP="00C02101">
      <w:pPr>
        <w:tabs>
          <w:tab w:val="left" w:pos="720"/>
        </w:tabs>
        <w:spacing w:after="0" w:line="240" w:lineRule="auto"/>
        <w:jc w:val="both"/>
        <w:rPr>
          <w:rFonts w:ascii="Times New Roman" w:hAnsi="Times New Roman"/>
          <w:sz w:val="24"/>
          <w:szCs w:val="24"/>
        </w:rPr>
      </w:pPr>
      <w:r w:rsidRPr="0080751D">
        <w:rPr>
          <w:rFonts w:ascii="Times New Roman" w:hAnsi="Times New Roman"/>
          <w:b/>
          <w:sz w:val="24"/>
          <w:szCs w:val="24"/>
          <w:vertAlign w:val="superscript"/>
        </w:rPr>
        <w:t>a</w:t>
      </w:r>
      <w:r w:rsidRPr="0080751D">
        <w:rPr>
          <w:rFonts w:ascii="Times New Roman" w:hAnsi="Times New Roman"/>
          <w:sz w:val="24"/>
          <w:szCs w:val="24"/>
        </w:rPr>
        <w:t xml:space="preserve">This table </w:t>
      </w:r>
      <w:r>
        <w:rPr>
          <w:rFonts w:ascii="Times New Roman" w:hAnsi="Times New Roman"/>
          <w:sz w:val="24"/>
          <w:szCs w:val="24"/>
        </w:rPr>
        <w:t xml:space="preserve">reports the coefficient </w:t>
      </w:r>
      <w:r w:rsidRPr="0080751D">
        <w:rPr>
          <w:rFonts w:ascii="Times New Roman" w:hAnsi="Times New Roman"/>
          <w:sz w:val="24"/>
          <w:szCs w:val="24"/>
        </w:rPr>
        <w:t xml:space="preserve">estimates </w:t>
      </w:r>
      <w:r>
        <w:rPr>
          <w:rFonts w:ascii="Times New Roman" w:hAnsi="Times New Roman"/>
          <w:sz w:val="24"/>
          <w:szCs w:val="24"/>
        </w:rPr>
        <w:t xml:space="preserve">and t-statistics </w:t>
      </w:r>
      <w:r w:rsidRPr="0080751D">
        <w:rPr>
          <w:rFonts w:ascii="Times New Roman" w:hAnsi="Times New Roman"/>
          <w:sz w:val="24"/>
          <w:szCs w:val="24"/>
        </w:rPr>
        <w:t xml:space="preserve">from the following regression: </w:t>
      </w:r>
      <w:r w:rsidR="008A47BB" w:rsidRPr="00C11785">
        <w:rPr>
          <w:rFonts w:ascii="Times New Roman" w:hAnsi="Times New Roman" w:cs="Times New Roman"/>
          <w:sz w:val="24"/>
          <w:szCs w:val="24"/>
        </w:rPr>
        <w:t>R&amp;D</w:t>
      </w:r>
      <w:r w:rsidR="008A47BB">
        <w:rPr>
          <w:rFonts w:ascii="Times New Roman" w:hAnsi="Times New Roman" w:cs="Times New Roman"/>
          <w:sz w:val="24"/>
          <w:szCs w:val="24"/>
        </w:rPr>
        <w:t xml:space="preserve"> Growth = </w:t>
      </w:r>
      <w:r w:rsidR="00F327C9">
        <w:rPr>
          <w:rFonts w:ascii="Symbol" w:hAnsi="Symbol" w:cs="Times New Roman"/>
          <w:sz w:val="24"/>
          <w:szCs w:val="24"/>
        </w:rPr>
        <w:t></w:t>
      </w:r>
      <w:r w:rsidR="008A47BB" w:rsidRPr="00DF2E72">
        <w:rPr>
          <w:rFonts w:ascii="Times New Roman" w:hAnsi="Times New Roman" w:cs="Times New Roman"/>
          <w:sz w:val="24"/>
          <w:szCs w:val="24"/>
          <w:vertAlign w:val="subscript"/>
        </w:rPr>
        <w:t xml:space="preserve">0 </w:t>
      </w:r>
      <w:r w:rsidR="008A47BB">
        <w:rPr>
          <w:rFonts w:ascii="Times New Roman" w:hAnsi="Times New Roman" w:cs="Times New Roman"/>
          <w:sz w:val="24"/>
          <w:szCs w:val="24"/>
        </w:rPr>
        <w:t xml:space="preserve">+ </w:t>
      </w:r>
      <w:r w:rsidR="008A47BB">
        <w:rPr>
          <w:rFonts w:ascii="Symbol" w:hAnsi="Symbol" w:cs="Times New Roman"/>
          <w:sz w:val="24"/>
          <w:szCs w:val="24"/>
        </w:rPr>
        <w:t></w:t>
      </w:r>
      <w:r w:rsidR="008E0157">
        <w:rPr>
          <w:rFonts w:ascii="Symbol" w:hAnsi="Symbol" w:cs="Times New Roman"/>
          <w:sz w:val="24"/>
          <w:szCs w:val="24"/>
          <w:vertAlign w:val="subscript"/>
        </w:rPr>
        <w:t></w:t>
      </w:r>
      <w:r w:rsidR="008E0157">
        <w:rPr>
          <w:rFonts w:ascii="Times New Roman" w:hAnsi="Times New Roman" w:cs="Times New Roman"/>
          <w:sz w:val="24"/>
          <w:szCs w:val="24"/>
        </w:rPr>
        <w:t>POST</w:t>
      </w:r>
      <w:r w:rsidR="008A47BB" w:rsidRPr="0012154E">
        <w:rPr>
          <w:rFonts w:ascii="Times New Roman" w:hAnsi="Times New Roman" w:cs="Times New Roman"/>
          <w:sz w:val="24"/>
          <w:szCs w:val="24"/>
          <w:vertAlign w:val="subscript"/>
        </w:rPr>
        <w:t xml:space="preserve"> </w:t>
      </w:r>
      <w:r w:rsidR="008A47BB">
        <w:rPr>
          <w:rFonts w:ascii="Times New Roman" w:hAnsi="Times New Roman" w:cs="Times New Roman"/>
          <w:sz w:val="24"/>
          <w:szCs w:val="24"/>
        </w:rPr>
        <w:t>+ ∑</w:t>
      </w:r>
      <w:r w:rsidR="008A47BB" w:rsidRPr="0012154E">
        <w:rPr>
          <w:rFonts w:ascii="Times New Roman" w:hAnsi="Times New Roman" w:cs="Times New Roman"/>
          <w:sz w:val="24"/>
          <w:szCs w:val="24"/>
          <w:vertAlign w:val="subscript"/>
        </w:rPr>
        <w:t>i</w:t>
      </w:r>
      <w:r w:rsidR="008A47BB">
        <w:rPr>
          <w:rFonts w:ascii="Symbol" w:hAnsi="Symbol" w:cs="Times New Roman"/>
          <w:sz w:val="24"/>
          <w:szCs w:val="24"/>
        </w:rPr>
        <w:sym w:font="Symbol" w:char="F046"/>
      </w:r>
      <w:r w:rsidR="008A47BB">
        <w:rPr>
          <w:rFonts w:ascii="Times New Roman" w:hAnsi="Times New Roman" w:cs="Times New Roman"/>
          <w:sz w:val="24"/>
          <w:szCs w:val="24"/>
          <w:vertAlign w:val="subscript"/>
        </w:rPr>
        <w:t>i</w:t>
      </w:r>
      <w:r w:rsidR="008A47BB">
        <w:rPr>
          <w:rFonts w:ascii="Times New Roman" w:hAnsi="Times New Roman" w:cs="Times New Roman"/>
          <w:sz w:val="24"/>
          <w:szCs w:val="24"/>
        </w:rPr>
        <w:t>Control</w:t>
      </w:r>
      <w:r w:rsidR="008A47BB" w:rsidRPr="0012154E">
        <w:rPr>
          <w:rFonts w:ascii="Times New Roman" w:hAnsi="Times New Roman" w:cs="Times New Roman"/>
          <w:sz w:val="24"/>
          <w:szCs w:val="24"/>
          <w:vertAlign w:val="subscript"/>
        </w:rPr>
        <w:t xml:space="preserve">i </w:t>
      </w:r>
      <w:r w:rsidR="008A47BB">
        <w:rPr>
          <w:rFonts w:ascii="Times New Roman" w:hAnsi="Times New Roman" w:cs="Times New Roman"/>
          <w:sz w:val="24"/>
          <w:szCs w:val="24"/>
        </w:rPr>
        <w:t xml:space="preserve">+ </w:t>
      </w:r>
      <w:r w:rsidR="008E0157">
        <w:rPr>
          <w:rFonts w:ascii="Times New Roman" w:hAnsi="Times New Roman" w:cs="Times New Roman"/>
          <w:sz w:val="24"/>
          <w:szCs w:val="24"/>
        </w:rPr>
        <w:t xml:space="preserve">firm fixed effects + </w:t>
      </w:r>
      <w:r w:rsidR="008A47BB">
        <w:rPr>
          <w:rFonts w:ascii="Times New Roman" w:hAnsi="Times New Roman" w:cs="Times New Roman"/>
          <w:sz w:val="24"/>
          <w:szCs w:val="24"/>
        </w:rPr>
        <w:t xml:space="preserve">year fixed effects + </w:t>
      </w:r>
      <w:r w:rsidR="008A47BB" w:rsidRPr="00480C6E">
        <w:rPr>
          <w:rFonts w:ascii="Symbol" w:hAnsi="Symbol" w:cs="Times New Roman"/>
          <w:sz w:val="24"/>
          <w:szCs w:val="24"/>
        </w:rPr>
        <w:t></w:t>
      </w:r>
      <w:r w:rsidR="008A47BB">
        <w:rPr>
          <w:rFonts w:ascii="Times New Roman" w:hAnsi="Times New Roman" w:cs="Times New Roman"/>
          <w:sz w:val="24"/>
          <w:szCs w:val="24"/>
        </w:rPr>
        <w:t xml:space="preserve">       </w:t>
      </w:r>
    </w:p>
    <w:p w14:paraId="15211FDB" w14:textId="15BB1FA3" w:rsidR="00AE251F" w:rsidRDefault="00AE251F" w:rsidP="00C02101">
      <w:pPr>
        <w:spacing w:after="0" w:line="240" w:lineRule="auto"/>
        <w:contextualSpacing/>
        <w:jc w:val="both"/>
        <w:rPr>
          <w:rFonts w:ascii="Times New Roman" w:hAnsi="Times New Roman"/>
          <w:sz w:val="24"/>
          <w:szCs w:val="24"/>
        </w:rPr>
      </w:pPr>
    </w:p>
    <w:p w14:paraId="6BD4896D" w14:textId="1B4A7263" w:rsidR="00AE251F" w:rsidRDefault="00E92AF3" w:rsidP="00C02101">
      <w:pPr>
        <w:jc w:val="both"/>
        <w:rPr>
          <w:rFonts w:ascii="Times New Roman" w:hAnsi="Times New Roman"/>
          <w:sz w:val="24"/>
          <w:szCs w:val="24"/>
        </w:rPr>
      </w:pPr>
      <w:r>
        <w:rPr>
          <w:rFonts w:ascii="Times New Roman" w:hAnsi="Times New Roman"/>
          <w:sz w:val="24"/>
          <w:szCs w:val="24"/>
        </w:rPr>
        <w:t>The dependent variable (R&amp;D Growth) is measured as follows: RD_Gwth</w:t>
      </w:r>
      <w:r w:rsidRPr="00FD3A6E">
        <w:rPr>
          <w:rFonts w:ascii="Times New Roman" w:hAnsi="Times New Roman"/>
          <w:sz w:val="24"/>
          <w:szCs w:val="24"/>
        </w:rPr>
        <w:t xml:space="preserve"> </w:t>
      </w:r>
      <w:r>
        <w:rPr>
          <w:rFonts w:ascii="Times New Roman" w:hAnsi="Times New Roman"/>
          <w:sz w:val="24"/>
          <w:szCs w:val="24"/>
        </w:rPr>
        <w:t>is the change in R&amp;D expenditures divided by lagged R&amp;D expenditures;</w:t>
      </w:r>
      <w:r w:rsidRPr="00FD3A6E">
        <w:rPr>
          <w:rFonts w:ascii="Times New Roman" w:hAnsi="Times New Roman"/>
          <w:sz w:val="24"/>
          <w:szCs w:val="24"/>
        </w:rPr>
        <w:t xml:space="preserve"> </w:t>
      </w:r>
      <w:r>
        <w:rPr>
          <w:rFonts w:ascii="Times New Roman" w:hAnsi="Times New Roman"/>
          <w:sz w:val="24"/>
          <w:szCs w:val="24"/>
        </w:rPr>
        <w:t>RD_TA is the change in R&amp;D expenditures scaled by lagged total assets</w:t>
      </w:r>
      <w:r w:rsidR="00FA2728">
        <w:rPr>
          <w:rFonts w:ascii="Times New Roman" w:hAnsi="Times New Roman"/>
          <w:sz w:val="24"/>
          <w:szCs w:val="24"/>
        </w:rPr>
        <w:t xml:space="preserve">; RD_Sales is the change in R&amp;D expenditures divided by lagged sales. </w:t>
      </w:r>
      <w:r w:rsidR="008E0157">
        <w:rPr>
          <w:rFonts w:ascii="Times New Roman" w:hAnsi="Times New Roman"/>
          <w:sz w:val="24"/>
          <w:szCs w:val="24"/>
        </w:rPr>
        <w:t xml:space="preserve">POST </w:t>
      </w:r>
      <w:r w:rsidR="008E0157">
        <w:rPr>
          <w:rFonts w:ascii="Times New Roman" w:hAnsi="Times New Roman" w:cs="Times New Roman"/>
          <w:sz w:val="24"/>
          <w:szCs w:val="24"/>
        </w:rPr>
        <w:t xml:space="preserve">is </w:t>
      </w:r>
      <w:r w:rsidR="008E0157" w:rsidRPr="0060354E">
        <w:rPr>
          <w:rFonts w:asciiTheme="majorBidi" w:hAnsiTheme="majorBidi" w:cstheme="majorBidi"/>
          <w:sz w:val="24"/>
          <w:szCs w:val="24"/>
        </w:rPr>
        <w:t xml:space="preserve">an indicator variable that equals 1 </w:t>
      </w:r>
      <w:r w:rsidR="008E0157">
        <w:rPr>
          <w:rFonts w:ascii="Times New Roman" w:hAnsi="Times New Roman" w:cs="Times New Roman"/>
          <w:sz w:val="24"/>
          <w:szCs w:val="24"/>
        </w:rPr>
        <w:t xml:space="preserve">if the firm has switched to IFRS, 0 otherwise. </w:t>
      </w:r>
      <w:r>
        <w:rPr>
          <w:rFonts w:ascii="Times New Roman" w:hAnsi="Times New Roman"/>
          <w:sz w:val="24"/>
          <w:szCs w:val="24"/>
        </w:rPr>
        <w:t>See Table 6 for the definition of the control variables.</w:t>
      </w:r>
    </w:p>
    <w:p w14:paraId="53A907D8" w14:textId="57BF753C" w:rsidR="00AE251F" w:rsidRDefault="00AE251F" w:rsidP="00C02101">
      <w:pPr>
        <w:spacing w:after="0" w:line="240" w:lineRule="auto"/>
        <w:contextualSpacing/>
        <w:jc w:val="both"/>
        <w:rPr>
          <w:rFonts w:ascii="Times New Roman" w:hAnsi="Times New Roman"/>
          <w:sz w:val="24"/>
          <w:szCs w:val="24"/>
        </w:rPr>
      </w:pPr>
      <w:r w:rsidRPr="0080751D">
        <w:rPr>
          <w:rFonts w:ascii="Times New Roman" w:hAnsi="Times New Roman"/>
          <w:sz w:val="24"/>
          <w:szCs w:val="24"/>
        </w:rPr>
        <w:t xml:space="preserve">Standard errors are clustered by firm. </w:t>
      </w:r>
    </w:p>
    <w:p w14:paraId="169EBD04" w14:textId="77777777" w:rsidR="00AE251F" w:rsidRPr="0080751D" w:rsidRDefault="00AE251F" w:rsidP="00C02101">
      <w:pPr>
        <w:spacing w:after="0" w:line="240" w:lineRule="auto"/>
        <w:contextualSpacing/>
        <w:jc w:val="both"/>
        <w:rPr>
          <w:rFonts w:ascii="Times New Roman" w:hAnsi="Times New Roman"/>
          <w:sz w:val="24"/>
          <w:szCs w:val="24"/>
        </w:rPr>
      </w:pPr>
      <w:r w:rsidRPr="0080751D">
        <w:rPr>
          <w:rFonts w:ascii="Times New Roman" w:hAnsi="Times New Roman"/>
          <w:sz w:val="24"/>
          <w:szCs w:val="24"/>
        </w:rPr>
        <w:t xml:space="preserve"> </w:t>
      </w:r>
    </w:p>
    <w:p w14:paraId="62C60A3C" w14:textId="77777777" w:rsidR="00AE251F" w:rsidRPr="0080751D" w:rsidRDefault="00AE251F" w:rsidP="00C02101">
      <w:pPr>
        <w:spacing w:before="100" w:beforeAutospacing="1" w:after="0" w:line="240" w:lineRule="auto"/>
        <w:contextualSpacing/>
        <w:jc w:val="both"/>
        <w:rPr>
          <w:rFonts w:ascii="Times New Roman" w:hAnsi="Times New Roman"/>
          <w:sz w:val="24"/>
          <w:szCs w:val="24"/>
        </w:rPr>
      </w:pPr>
      <w:r w:rsidRPr="0080751D">
        <w:rPr>
          <w:rFonts w:ascii="Times New Roman" w:hAnsi="Times New Roman"/>
          <w:sz w:val="24"/>
          <w:szCs w:val="24"/>
        </w:rPr>
        <w:t>*, ** and *** indicate significance at the 0.10, 0.05 and 0.01 levels, respectively</w:t>
      </w:r>
    </w:p>
    <w:p w14:paraId="68EF731C" w14:textId="6CC50CC5" w:rsidR="00AE251F" w:rsidRDefault="00AE251F" w:rsidP="00480C6E">
      <w:pPr>
        <w:ind w:left="3600" w:firstLine="720"/>
        <w:contextualSpacing/>
        <w:rPr>
          <w:rFonts w:ascii="Times New Roman" w:hAnsi="Times New Roman"/>
          <w:b/>
          <w:sz w:val="24"/>
          <w:szCs w:val="24"/>
        </w:rPr>
      </w:pPr>
      <w:r w:rsidRPr="0080751D">
        <w:rPr>
          <w:rFonts w:ascii="Times New Roman" w:hAnsi="Times New Roman"/>
          <w:sz w:val="24"/>
          <w:szCs w:val="24"/>
        </w:rPr>
        <w:br w:type="page"/>
      </w:r>
      <w:r>
        <w:rPr>
          <w:rFonts w:ascii="Times New Roman" w:hAnsi="Times New Roman"/>
          <w:b/>
          <w:sz w:val="24"/>
          <w:szCs w:val="24"/>
        </w:rPr>
        <w:t>Table 9</w:t>
      </w:r>
    </w:p>
    <w:p w14:paraId="451FE033" w14:textId="1BA637D2" w:rsidR="00AE251F" w:rsidRDefault="007622B5" w:rsidP="00AE251F">
      <w:pPr>
        <w:pBdr>
          <w:bottom w:val="single" w:sz="12" w:space="1" w:color="auto"/>
        </w:pBdr>
        <w:spacing w:line="240" w:lineRule="auto"/>
        <w:contextualSpacing/>
        <w:jc w:val="center"/>
        <w:rPr>
          <w:rFonts w:ascii="Times New Roman" w:hAnsi="Times New Roman"/>
          <w:sz w:val="24"/>
          <w:szCs w:val="24"/>
        </w:rPr>
      </w:pPr>
      <w:r>
        <w:rPr>
          <w:rFonts w:ascii="Times New Roman" w:hAnsi="Times New Roman"/>
          <w:b/>
          <w:sz w:val="24"/>
          <w:szCs w:val="24"/>
        </w:rPr>
        <w:t xml:space="preserve">High Growth vs Low Growth </w:t>
      </w:r>
      <w:r w:rsidR="00AE251F">
        <w:rPr>
          <w:rFonts w:ascii="Times New Roman" w:hAnsi="Times New Roman"/>
          <w:b/>
          <w:sz w:val="24"/>
          <w:szCs w:val="24"/>
        </w:rPr>
        <w:t>Switchers</w:t>
      </w:r>
      <w:r w:rsidR="00AE251F">
        <w:rPr>
          <w:rFonts w:ascii="Times New Roman" w:hAnsi="Times New Roman"/>
          <w:b/>
          <w:sz w:val="24"/>
          <w:szCs w:val="24"/>
          <w:vertAlign w:val="superscript"/>
        </w:rPr>
        <w:t>a</w:t>
      </w:r>
    </w:p>
    <w:p w14:paraId="72E8D4FF" w14:textId="48D8F7D3" w:rsidR="00AE251F" w:rsidRDefault="00AE251F" w:rsidP="00AE251F">
      <w:pPr>
        <w:spacing w:line="240" w:lineRule="auto"/>
        <w:contextualSpacing/>
        <w:rPr>
          <w:rFonts w:ascii="Times New Roman" w:hAnsi="Times New Roman"/>
          <w:b/>
          <w:sz w:val="24"/>
          <w:szCs w:val="24"/>
        </w:rPr>
      </w:pPr>
    </w:p>
    <w:tbl>
      <w:tblPr>
        <w:tblW w:w="0" w:type="dxa"/>
        <w:jc w:val="center"/>
        <w:tblLayout w:type="fixed"/>
        <w:tblCellMar>
          <w:left w:w="75" w:type="dxa"/>
          <w:right w:w="75" w:type="dxa"/>
        </w:tblCellMar>
        <w:tblLook w:val="0000" w:firstRow="0" w:lastRow="0" w:firstColumn="0" w:lastColumn="0" w:noHBand="0" w:noVBand="0"/>
      </w:tblPr>
      <w:tblGrid>
        <w:gridCol w:w="2835"/>
        <w:gridCol w:w="2127"/>
        <w:gridCol w:w="1842"/>
        <w:gridCol w:w="1418"/>
      </w:tblGrid>
      <w:tr w:rsidR="00706A69" w14:paraId="5F91EC44" w14:textId="77777777" w:rsidTr="00A72BD1">
        <w:trPr>
          <w:jc w:val="center"/>
        </w:trPr>
        <w:tc>
          <w:tcPr>
            <w:tcW w:w="2835" w:type="dxa"/>
            <w:tcBorders>
              <w:top w:val="single" w:sz="6" w:space="0" w:color="auto"/>
              <w:left w:val="nil"/>
              <w:bottom w:val="nil"/>
              <w:right w:val="nil"/>
            </w:tcBorders>
          </w:tcPr>
          <w:p w14:paraId="7A8BE110"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p>
        </w:tc>
        <w:tc>
          <w:tcPr>
            <w:tcW w:w="2127" w:type="dxa"/>
            <w:tcBorders>
              <w:top w:val="single" w:sz="6" w:space="0" w:color="auto"/>
              <w:left w:val="nil"/>
              <w:bottom w:val="nil"/>
              <w:right w:val="nil"/>
            </w:tcBorders>
          </w:tcPr>
          <w:p w14:paraId="63462E07"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Borders>
              <w:top w:val="single" w:sz="6" w:space="0" w:color="auto"/>
              <w:left w:val="nil"/>
              <w:bottom w:val="nil"/>
              <w:right w:val="nil"/>
            </w:tcBorders>
          </w:tcPr>
          <w:p w14:paraId="1660AF44"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6" w:space="0" w:color="auto"/>
              <w:left w:val="nil"/>
              <w:bottom w:val="nil"/>
              <w:right w:val="nil"/>
            </w:tcBorders>
          </w:tcPr>
          <w:p w14:paraId="16308CB0"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706A69" w14:paraId="34D3E21C" w14:textId="77777777" w:rsidTr="00A72BD1">
        <w:trPr>
          <w:jc w:val="center"/>
        </w:trPr>
        <w:tc>
          <w:tcPr>
            <w:tcW w:w="2835" w:type="dxa"/>
            <w:tcBorders>
              <w:top w:val="nil"/>
              <w:left w:val="nil"/>
              <w:bottom w:val="single" w:sz="6" w:space="0" w:color="auto"/>
              <w:right w:val="nil"/>
            </w:tcBorders>
          </w:tcPr>
          <w:p w14:paraId="7C21CC9C"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VARIABLES</w:t>
            </w:r>
          </w:p>
        </w:tc>
        <w:tc>
          <w:tcPr>
            <w:tcW w:w="2127" w:type="dxa"/>
            <w:tcBorders>
              <w:top w:val="nil"/>
              <w:left w:val="nil"/>
              <w:bottom w:val="single" w:sz="6" w:space="0" w:color="auto"/>
              <w:right w:val="nil"/>
            </w:tcBorders>
          </w:tcPr>
          <w:p w14:paraId="37B369B2"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RD_Gwth</w:t>
            </w:r>
          </w:p>
        </w:tc>
        <w:tc>
          <w:tcPr>
            <w:tcW w:w="1842" w:type="dxa"/>
            <w:tcBorders>
              <w:top w:val="nil"/>
              <w:left w:val="nil"/>
              <w:bottom w:val="single" w:sz="6" w:space="0" w:color="auto"/>
              <w:right w:val="nil"/>
            </w:tcBorders>
          </w:tcPr>
          <w:p w14:paraId="78EA903A"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RD_TA</w:t>
            </w:r>
          </w:p>
        </w:tc>
        <w:tc>
          <w:tcPr>
            <w:tcW w:w="1418" w:type="dxa"/>
            <w:tcBorders>
              <w:top w:val="nil"/>
              <w:left w:val="nil"/>
              <w:bottom w:val="single" w:sz="6" w:space="0" w:color="auto"/>
              <w:right w:val="nil"/>
            </w:tcBorders>
          </w:tcPr>
          <w:p w14:paraId="59ABF49C"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RD_Sales</w:t>
            </w:r>
          </w:p>
        </w:tc>
      </w:tr>
      <w:tr w:rsidR="00706A69" w14:paraId="701FB3CA" w14:textId="77777777" w:rsidTr="00A72BD1">
        <w:trPr>
          <w:jc w:val="center"/>
        </w:trPr>
        <w:tc>
          <w:tcPr>
            <w:tcW w:w="2835" w:type="dxa"/>
            <w:tcBorders>
              <w:top w:val="nil"/>
              <w:left w:val="nil"/>
              <w:bottom w:val="nil"/>
              <w:right w:val="nil"/>
            </w:tcBorders>
          </w:tcPr>
          <w:p w14:paraId="3F96130E"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p>
        </w:tc>
        <w:tc>
          <w:tcPr>
            <w:tcW w:w="2127" w:type="dxa"/>
            <w:tcBorders>
              <w:top w:val="nil"/>
              <w:left w:val="nil"/>
              <w:bottom w:val="nil"/>
              <w:right w:val="nil"/>
            </w:tcBorders>
          </w:tcPr>
          <w:p w14:paraId="7B65D37A"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p>
        </w:tc>
        <w:tc>
          <w:tcPr>
            <w:tcW w:w="1842" w:type="dxa"/>
            <w:tcBorders>
              <w:top w:val="nil"/>
              <w:left w:val="nil"/>
              <w:bottom w:val="nil"/>
              <w:right w:val="nil"/>
            </w:tcBorders>
          </w:tcPr>
          <w:p w14:paraId="0C6EF5E5"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p>
        </w:tc>
        <w:tc>
          <w:tcPr>
            <w:tcW w:w="1418" w:type="dxa"/>
            <w:tcBorders>
              <w:top w:val="nil"/>
              <w:left w:val="nil"/>
              <w:bottom w:val="nil"/>
              <w:right w:val="nil"/>
            </w:tcBorders>
          </w:tcPr>
          <w:p w14:paraId="17DC0E5D"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p>
        </w:tc>
      </w:tr>
      <w:tr w:rsidR="00706A69" w14:paraId="4374E811" w14:textId="77777777" w:rsidTr="00A72BD1">
        <w:trPr>
          <w:jc w:val="center"/>
        </w:trPr>
        <w:tc>
          <w:tcPr>
            <w:tcW w:w="2835" w:type="dxa"/>
            <w:tcBorders>
              <w:top w:val="nil"/>
              <w:left w:val="nil"/>
              <w:bottom w:val="nil"/>
              <w:right w:val="nil"/>
            </w:tcBorders>
          </w:tcPr>
          <w:p w14:paraId="0B413A75"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HIGH*IFRS year - 3</w:t>
            </w:r>
          </w:p>
        </w:tc>
        <w:tc>
          <w:tcPr>
            <w:tcW w:w="2127" w:type="dxa"/>
            <w:tcBorders>
              <w:top w:val="nil"/>
              <w:left w:val="nil"/>
              <w:bottom w:val="nil"/>
              <w:right w:val="nil"/>
            </w:tcBorders>
          </w:tcPr>
          <w:p w14:paraId="606C4789"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-0.009</w:t>
            </w:r>
          </w:p>
        </w:tc>
        <w:tc>
          <w:tcPr>
            <w:tcW w:w="1842" w:type="dxa"/>
            <w:tcBorders>
              <w:top w:val="nil"/>
              <w:left w:val="nil"/>
              <w:bottom w:val="nil"/>
              <w:right w:val="nil"/>
            </w:tcBorders>
          </w:tcPr>
          <w:p w14:paraId="350132FA"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0.004</w:t>
            </w:r>
          </w:p>
        </w:tc>
        <w:tc>
          <w:tcPr>
            <w:tcW w:w="1418" w:type="dxa"/>
            <w:tcBorders>
              <w:top w:val="nil"/>
              <w:left w:val="nil"/>
              <w:bottom w:val="nil"/>
              <w:right w:val="nil"/>
            </w:tcBorders>
          </w:tcPr>
          <w:p w14:paraId="0A0D835B"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w:t>
            </w:r>
          </w:p>
        </w:tc>
      </w:tr>
      <w:tr w:rsidR="00706A69" w14:paraId="460164AB" w14:textId="77777777" w:rsidTr="00A72BD1">
        <w:trPr>
          <w:jc w:val="center"/>
        </w:trPr>
        <w:tc>
          <w:tcPr>
            <w:tcW w:w="2835" w:type="dxa"/>
            <w:tcBorders>
              <w:top w:val="nil"/>
              <w:left w:val="nil"/>
              <w:bottom w:val="nil"/>
              <w:right w:val="nil"/>
            </w:tcBorders>
          </w:tcPr>
          <w:p w14:paraId="76F79BE1"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p>
        </w:tc>
        <w:tc>
          <w:tcPr>
            <w:tcW w:w="2127" w:type="dxa"/>
            <w:tcBorders>
              <w:top w:val="nil"/>
              <w:left w:val="nil"/>
              <w:bottom w:val="nil"/>
              <w:right w:val="nil"/>
            </w:tcBorders>
          </w:tcPr>
          <w:p w14:paraId="1424006D"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(-0.11)</w:t>
            </w:r>
          </w:p>
        </w:tc>
        <w:tc>
          <w:tcPr>
            <w:tcW w:w="1842" w:type="dxa"/>
            <w:tcBorders>
              <w:top w:val="nil"/>
              <w:left w:val="nil"/>
              <w:bottom w:val="nil"/>
              <w:right w:val="nil"/>
            </w:tcBorders>
          </w:tcPr>
          <w:p w14:paraId="44310879"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(0.73)</w:t>
            </w:r>
          </w:p>
        </w:tc>
        <w:tc>
          <w:tcPr>
            <w:tcW w:w="1418" w:type="dxa"/>
            <w:tcBorders>
              <w:top w:val="nil"/>
              <w:left w:val="nil"/>
              <w:bottom w:val="nil"/>
              <w:right w:val="nil"/>
            </w:tcBorders>
          </w:tcPr>
          <w:p w14:paraId="281EF09C"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(-0.06)</w:t>
            </w:r>
          </w:p>
        </w:tc>
      </w:tr>
      <w:tr w:rsidR="00706A69" w14:paraId="4FC56194" w14:textId="77777777" w:rsidTr="00A72BD1">
        <w:trPr>
          <w:jc w:val="center"/>
        </w:trPr>
        <w:tc>
          <w:tcPr>
            <w:tcW w:w="2835" w:type="dxa"/>
            <w:tcBorders>
              <w:top w:val="nil"/>
              <w:left w:val="nil"/>
              <w:bottom w:val="nil"/>
              <w:right w:val="nil"/>
            </w:tcBorders>
          </w:tcPr>
          <w:p w14:paraId="3E7FBF59"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HIGH *IFRS year – 2</w:t>
            </w:r>
          </w:p>
        </w:tc>
        <w:tc>
          <w:tcPr>
            <w:tcW w:w="2127" w:type="dxa"/>
            <w:tcBorders>
              <w:top w:val="nil"/>
              <w:left w:val="nil"/>
              <w:bottom w:val="nil"/>
              <w:right w:val="nil"/>
            </w:tcBorders>
          </w:tcPr>
          <w:p w14:paraId="45DCA142"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0.004</w:t>
            </w:r>
          </w:p>
        </w:tc>
        <w:tc>
          <w:tcPr>
            <w:tcW w:w="1842" w:type="dxa"/>
            <w:tcBorders>
              <w:top w:val="nil"/>
              <w:left w:val="nil"/>
              <w:bottom w:val="nil"/>
              <w:right w:val="nil"/>
            </w:tcBorders>
          </w:tcPr>
          <w:p w14:paraId="3C233858"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0.006</w:t>
            </w:r>
          </w:p>
        </w:tc>
        <w:tc>
          <w:tcPr>
            <w:tcW w:w="1418" w:type="dxa"/>
            <w:tcBorders>
              <w:top w:val="nil"/>
              <w:left w:val="nil"/>
              <w:bottom w:val="nil"/>
              <w:right w:val="nil"/>
            </w:tcBorders>
          </w:tcPr>
          <w:p w14:paraId="2E3559DE"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0.003</w:t>
            </w:r>
          </w:p>
        </w:tc>
      </w:tr>
      <w:tr w:rsidR="00706A69" w14:paraId="5C753516" w14:textId="77777777" w:rsidTr="00A72BD1">
        <w:trPr>
          <w:jc w:val="center"/>
        </w:trPr>
        <w:tc>
          <w:tcPr>
            <w:tcW w:w="2835" w:type="dxa"/>
            <w:tcBorders>
              <w:top w:val="nil"/>
              <w:left w:val="nil"/>
              <w:bottom w:val="nil"/>
              <w:right w:val="nil"/>
            </w:tcBorders>
          </w:tcPr>
          <w:p w14:paraId="623D52FD"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p>
        </w:tc>
        <w:tc>
          <w:tcPr>
            <w:tcW w:w="2127" w:type="dxa"/>
            <w:tcBorders>
              <w:top w:val="nil"/>
              <w:left w:val="nil"/>
              <w:bottom w:val="nil"/>
              <w:right w:val="nil"/>
            </w:tcBorders>
          </w:tcPr>
          <w:p w14:paraId="65A5A726"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(0.06)</w:t>
            </w:r>
          </w:p>
        </w:tc>
        <w:tc>
          <w:tcPr>
            <w:tcW w:w="1842" w:type="dxa"/>
            <w:tcBorders>
              <w:top w:val="nil"/>
              <w:left w:val="nil"/>
              <w:bottom w:val="nil"/>
              <w:right w:val="nil"/>
            </w:tcBorders>
          </w:tcPr>
          <w:p w14:paraId="1F0A4495"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(0.87)</w:t>
            </w:r>
          </w:p>
        </w:tc>
        <w:tc>
          <w:tcPr>
            <w:tcW w:w="1418" w:type="dxa"/>
            <w:tcBorders>
              <w:top w:val="nil"/>
              <w:left w:val="nil"/>
              <w:bottom w:val="nil"/>
              <w:right w:val="nil"/>
            </w:tcBorders>
          </w:tcPr>
          <w:p w14:paraId="67F5D18E"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(0.43)</w:t>
            </w:r>
          </w:p>
        </w:tc>
      </w:tr>
      <w:tr w:rsidR="00706A69" w14:paraId="558737A3" w14:textId="77777777" w:rsidTr="00A72BD1">
        <w:trPr>
          <w:jc w:val="center"/>
        </w:trPr>
        <w:tc>
          <w:tcPr>
            <w:tcW w:w="2835" w:type="dxa"/>
            <w:tcBorders>
              <w:top w:val="nil"/>
              <w:left w:val="nil"/>
              <w:bottom w:val="nil"/>
              <w:right w:val="nil"/>
            </w:tcBorders>
          </w:tcPr>
          <w:p w14:paraId="17827A8A"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HIGH *IFRS year – 1</w:t>
            </w:r>
          </w:p>
        </w:tc>
        <w:tc>
          <w:tcPr>
            <w:tcW w:w="2127" w:type="dxa"/>
            <w:tcBorders>
              <w:top w:val="nil"/>
              <w:left w:val="nil"/>
              <w:bottom w:val="nil"/>
              <w:right w:val="nil"/>
            </w:tcBorders>
          </w:tcPr>
          <w:p w14:paraId="03A3C90B"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-0.046</w:t>
            </w:r>
          </w:p>
        </w:tc>
        <w:tc>
          <w:tcPr>
            <w:tcW w:w="1842" w:type="dxa"/>
            <w:tcBorders>
              <w:top w:val="nil"/>
              <w:left w:val="nil"/>
              <w:bottom w:val="nil"/>
              <w:right w:val="nil"/>
            </w:tcBorders>
          </w:tcPr>
          <w:p w14:paraId="3D64545B"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-0.004</w:t>
            </w:r>
          </w:p>
        </w:tc>
        <w:tc>
          <w:tcPr>
            <w:tcW w:w="1418" w:type="dxa"/>
            <w:tcBorders>
              <w:top w:val="nil"/>
              <w:left w:val="nil"/>
              <w:bottom w:val="nil"/>
              <w:right w:val="nil"/>
            </w:tcBorders>
          </w:tcPr>
          <w:p w14:paraId="4D050B16"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-0.009</w:t>
            </w:r>
          </w:p>
        </w:tc>
      </w:tr>
      <w:tr w:rsidR="00706A69" w14:paraId="648F13B6" w14:textId="77777777" w:rsidTr="00A72BD1">
        <w:trPr>
          <w:jc w:val="center"/>
        </w:trPr>
        <w:tc>
          <w:tcPr>
            <w:tcW w:w="2835" w:type="dxa"/>
            <w:tcBorders>
              <w:top w:val="nil"/>
              <w:left w:val="nil"/>
              <w:bottom w:val="nil"/>
              <w:right w:val="nil"/>
            </w:tcBorders>
          </w:tcPr>
          <w:p w14:paraId="3F6E5097"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p>
        </w:tc>
        <w:tc>
          <w:tcPr>
            <w:tcW w:w="2127" w:type="dxa"/>
            <w:tcBorders>
              <w:top w:val="nil"/>
              <w:left w:val="nil"/>
              <w:bottom w:val="nil"/>
              <w:right w:val="nil"/>
            </w:tcBorders>
          </w:tcPr>
          <w:p w14:paraId="06168BAC"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(-0.50)</w:t>
            </w:r>
          </w:p>
        </w:tc>
        <w:tc>
          <w:tcPr>
            <w:tcW w:w="1842" w:type="dxa"/>
            <w:tcBorders>
              <w:top w:val="nil"/>
              <w:left w:val="nil"/>
              <w:bottom w:val="nil"/>
              <w:right w:val="nil"/>
            </w:tcBorders>
          </w:tcPr>
          <w:p w14:paraId="29F8FEA8"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(-0.39)</w:t>
            </w:r>
          </w:p>
        </w:tc>
        <w:tc>
          <w:tcPr>
            <w:tcW w:w="1418" w:type="dxa"/>
            <w:tcBorders>
              <w:top w:val="nil"/>
              <w:left w:val="nil"/>
              <w:bottom w:val="nil"/>
              <w:right w:val="nil"/>
            </w:tcBorders>
          </w:tcPr>
          <w:p w14:paraId="504E3D36"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(-0.76)</w:t>
            </w:r>
          </w:p>
        </w:tc>
      </w:tr>
      <w:tr w:rsidR="00706A69" w14:paraId="49D7D9BE" w14:textId="77777777" w:rsidTr="00A72BD1">
        <w:trPr>
          <w:jc w:val="center"/>
        </w:trPr>
        <w:tc>
          <w:tcPr>
            <w:tcW w:w="2835" w:type="dxa"/>
            <w:tcBorders>
              <w:top w:val="nil"/>
              <w:left w:val="nil"/>
              <w:bottom w:val="nil"/>
              <w:right w:val="nil"/>
            </w:tcBorders>
          </w:tcPr>
          <w:p w14:paraId="5FF417D0"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HIGH *IFRS year</w:t>
            </w:r>
          </w:p>
        </w:tc>
        <w:tc>
          <w:tcPr>
            <w:tcW w:w="2127" w:type="dxa"/>
            <w:tcBorders>
              <w:top w:val="nil"/>
              <w:left w:val="nil"/>
              <w:bottom w:val="nil"/>
              <w:right w:val="nil"/>
            </w:tcBorders>
          </w:tcPr>
          <w:p w14:paraId="32427994"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0.193*</w:t>
            </w:r>
          </w:p>
        </w:tc>
        <w:tc>
          <w:tcPr>
            <w:tcW w:w="1842" w:type="dxa"/>
            <w:tcBorders>
              <w:top w:val="nil"/>
              <w:left w:val="nil"/>
              <w:bottom w:val="nil"/>
              <w:right w:val="nil"/>
            </w:tcBorders>
          </w:tcPr>
          <w:p w14:paraId="3B3EF5A3"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0.012*</w:t>
            </w:r>
          </w:p>
        </w:tc>
        <w:tc>
          <w:tcPr>
            <w:tcW w:w="1418" w:type="dxa"/>
            <w:tcBorders>
              <w:top w:val="nil"/>
              <w:left w:val="nil"/>
              <w:bottom w:val="nil"/>
              <w:right w:val="nil"/>
            </w:tcBorders>
          </w:tcPr>
          <w:p w14:paraId="79624401"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0.015*</w:t>
            </w:r>
          </w:p>
        </w:tc>
      </w:tr>
      <w:tr w:rsidR="00706A69" w14:paraId="5E69BD0D" w14:textId="77777777" w:rsidTr="00A72BD1">
        <w:trPr>
          <w:jc w:val="center"/>
        </w:trPr>
        <w:tc>
          <w:tcPr>
            <w:tcW w:w="2835" w:type="dxa"/>
            <w:tcBorders>
              <w:top w:val="nil"/>
              <w:left w:val="nil"/>
              <w:bottom w:val="nil"/>
              <w:right w:val="nil"/>
            </w:tcBorders>
          </w:tcPr>
          <w:p w14:paraId="78C91FC4"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p>
        </w:tc>
        <w:tc>
          <w:tcPr>
            <w:tcW w:w="2127" w:type="dxa"/>
            <w:tcBorders>
              <w:top w:val="nil"/>
              <w:left w:val="nil"/>
              <w:bottom w:val="nil"/>
              <w:right w:val="nil"/>
            </w:tcBorders>
          </w:tcPr>
          <w:p w14:paraId="56D4A8EC"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(1.73)</w:t>
            </w:r>
          </w:p>
        </w:tc>
        <w:tc>
          <w:tcPr>
            <w:tcW w:w="1842" w:type="dxa"/>
            <w:tcBorders>
              <w:top w:val="nil"/>
              <w:left w:val="nil"/>
              <w:bottom w:val="nil"/>
              <w:right w:val="nil"/>
            </w:tcBorders>
          </w:tcPr>
          <w:p w14:paraId="3761565A"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(1.88)</w:t>
            </w:r>
          </w:p>
        </w:tc>
        <w:tc>
          <w:tcPr>
            <w:tcW w:w="1418" w:type="dxa"/>
            <w:tcBorders>
              <w:top w:val="nil"/>
              <w:left w:val="nil"/>
              <w:bottom w:val="nil"/>
              <w:right w:val="nil"/>
            </w:tcBorders>
          </w:tcPr>
          <w:p w14:paraId="2C3A94C3"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(1.71)</w:t>
            </w:r>
          </w:p>
        </w:tc>
      </w:tr>
      <w:tr w:rsidR="00706A69" w14:paraId="5EA61A16" w14:textId="77777777" w:rsidTr="00A72BD1">
        <w:trPr>
          <w:jc w:val="center"/>
        </w:trPr>
        <w:tc>
          <w:tcPr>
            <w:tcW w:w="2835" w:type="dxa"/>
            <w:tcBorders>
              <w:top w:val="nil"/>
              <w:left w:val="nil"/>
              <w:bottom w:val="nil"/>
              <w:right w:val="nil"/>
            </w:tcBorders>
          </w:tcPr>
          <w:p w14:paraId="19868F1D"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HIGH *IFRS year + 1</w:t>
            </w:r>
          </w:p>
        </w:tc>
        <w:tc>
          <w:tcPr>
            <w:tcW w:w="2127" w:type="dxa"/>
            <w:tcBorders>
              <w:top w:val="nil"/>
              <w:left w:val="nil"/>
              <w:bottom w:val="nil"/>
              <w:right w:val="nil"/>
            </w:tcBorders>
          </w:tcPr>
          <w:p w14:paraId="5A2D1AE2"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0.038</w:t>
            </w:r>
          </w:p>
        </w:tc>
        <w:tc>
          <w:tcPr>
            <w:tcW w:w="1842" w:type="dxa"/>
            <w:tcBorders>
              <w:top w:val="nil"/>
              <w:left w:val="nil"/>
              <w:bottom w:val="nil"/>
              <w:right w:val="nil"/>
            </w:tcBorders>
          </w:tcPr>
          <w:p w14:paraId="0F6D37A8"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w:t>
            </w:r>
          </w:p>
        </w:tc>
        <w:tc>
          <w:tcPr>
            <w:tcW w:w="1418" w:type="dxa"/>
            <w:tcBorders>
              <w:top w:val="nil"/>
              <w:left w:val="nil"/>
              <w:bottom w:val="nil"/>
              <w:right w:val="nil"/>
            </w:tcBorders>
          </w:tcPr>
          <w:p w14:paraId="6BFCDC8E"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w:t>
            </w:r>
          </w:p>
        </w:tc>
      </w:tr>
      <w:tr w:rsidR="00706A69" w14:paraId="078A9A1B" w14:textId="77777777" w:rsidTr="00A72BD1">
        <w:trPr>
          <w:jc w:val="center"/>
        </w:trPr>
        <w:tc>
          <w:tcPr>
            <w:tcW w:w="2835" w:type="dxa"/>
            <w:tcBorders>
              <w:top w:val="nil"/>
              <w:left w:val="nil"/>
              <w:bottom w:val="nil"/>
              <w:right w:val="nil"/>
            </w:tcBorders>
          </w:tcPr>
          <w:p w14:paraId="2543AA6A"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p>
        </w:tc>
        <w:tc>
          <w:tcPr>
            <w:tcW w:w="2127" w:type="dxa"/>
            <w:tcBorders>
              <w:top w:val="nil"/>
              <w:left w:val="nil"/>
              <w:bottom w:val="nil"/>
              <w:right w:val="nil"/>
            </w:tcBorders>
          </w:tcPr>
          <w:p w14:paraId="2FED77FB"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(0.37)</w:t>
            </w:r>
          </w:p>
        </w:tc>
        <w:tc>
          <w:tcPr>
            <w:tcW w:w="1842" w:type="dxa"/>
            <w:tcBorders>
              <w:top w:val="nil"/>
              <w:left w:val="nil"/>
              <w:bottom w:val="nil"/>
              <w:right w:val="nil"/>
            </w:tcBorders>
          </w:tcPr>
          <w:p w14:paraId="442098FF"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w:t>
            </w:r>
          </w:p>
        </w:tc>
        <w:tc>
          <w:tcPr>
            <w:tcW w:w="1418" w:type="dxa"/>
            <w:tcBorders>
              <w:top w:val="nil"/>
              <w:left w:val="nil"/>
              <w:bottom w:val="nil"/>
              <w:right w:val="nil"/>
            </w:tcBorders>
          </w:tcPr>
          <w:p w14:paraId="319A4D0C"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(0.15)</w:t>
            </w:r>
          </w:p>
        </w:tc>
      </w:tr>
      <w:tr w:rsidR="00706A69" w14:paraId="00616F7B" w14:textId="77777777" w:rsidTr="00A72BD1">
        <w:trPr>
          <w:jc w:val="center"/>
        </w:trPr>
        <w:tc>
          <w:tcPr>
            <w:tcW w:w="2835" w:type="dxa"/>
            <w:tcBorders>
              <w:top w:val="nil"/>
              <w:left w:val="nil"/>
              <w:bottom w:val="nil"/>
              <w:right w:val="nil"/>
            </w:tcBorders>
          </w:tcPr>
          <w:p w14:paraId="6B46C1FE"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HIGH *IFRS year + 2</w:t>
            </w:r>
          </w:p>
        </w:tc>
        <w:tc>
          <w:tcPr>
            <w:tcW w:w="2127" w:type="dxa"/>
            <w:tcBorders>
              <w:top w:val="nil"/>
              <w:left w:val="nil"/>
              <w:bottom w:val="nil"/>
              <w:right w:val="nil"/>
            </w:tcBorders>
          </w:tcPr>
          <w:p w14:paraId="148D125B"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-0.005</w:t>
            </w:r>
          </w:p>
        </w:tc>
        <w:tc>
          <w:tcPr>
            <w:tcW w:w="1842" w:type="dxa"/>
            <w:tcBorders>
              <w:top w:val="nil"/>
              <w:left w:val="nil"/>
              <w:bottom w:val="nil"/>
              <w:right w:val="nil"/>
            </w:tcBorders>
          </w:tcPr>
          <w:p w14:paraId="0305E1E3"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0.003</w:t>
            </w:r>
          </w:p>
        </w:tc>
        <w:tc>
          <w:tcPr>
            <w:tcW w:w="1418" w:type="dxa"/>
            <w:tcBorders>
              <w:top w:val="nil"/>
              <w:left w:val="nil"/>
              <w:bottom w:val="nil"/>
              <w:right w:val="nil"/>
            </w:tcBorders>
          </w:tcPr>
          <w:p w14:paraId="13B7771E"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0.005</w:t>
            </w:r>
          </w:p>
        </w:tc>
      </w:tr>
      <w:tr w:rsidR="00706A69" w14:paraId="0E01B98D" w14:textId="77777777" w:rsidTr="00A72BD1">
        <w:trPr>
          <w:jc w:val="center"/>
        </w:trPr>
        <w:tc>
          <w:tcPr>
            <w:tcW w:w="2835" w:type="dxa"/>
            <w:tcBorders>
              <w:top w:val="nil"/>
              <w:left w:val="nil"/>
              <w:bottom w:val="nil"/>
              <w:right w:val="nil"/>
            </w:tcBorders>
          </w:tcPr>
          <w:p w14:paraId="34FE60EE"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p>
        </w:tc>
        <w:tc>
          <w:tcPr>
            <w:tcW w:w="2127" w:type="dxa"/>
            <w:tcBorders>
              <w:top w:val="nil"/>
              <w:left w:val="nil"/>
              <w:bottom w:val="nil"/>
              <w:right w:val="nil"/>
            </w:tcBorders>
          </w:tcPr>
          <w:p w14:paraId="1DD95A7D"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(-0.05)</w:t>
            </w:r>
          </w:p>
        </w:tc>
        <w:tc>
          <w:tcPr>
            <w:tcW w:w="1842" w:type="dxa"/>
            <w:tcBorders>
              <w:top w:val="nil"/>
              <w:left w:val="nil"/>
              <w:bottom w:val="nil"/>
              <w:right w:val="nil"/>
            </w:tcBorders>
          </w:tcPr>
          <w:p w14:paraId="36712EF9"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(0.40)</w:t>
            </w:r>
          </w:p>
        </w:tc>
        <w:tc>
          <w:tcPr>
            <w:tcW w:w="1418" w:type="dxa"/>
            <w:tcBorders>
              <w:top w:val="nil"/>
              <w:left w:val="nil"/>
              <w:bottom w:val="nil"/>
              <w:right w:val="nil"/>
            </w:tcBorders>
          </w:tcPr>
          <w:p w14:paraId="2F23DDD3"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(0.48)</w:t>
            </w:r>
          </w:p>
        </w:tc>
      </w:tr>
      <w:tr w:rsidR="00706A69" w14:paraId="14A75477" w14:textId="77777777" w:rsidTr="00A72BD1">
        <w:trPr>
          <w:jc w:val="center"/>
        </w:trPr>
        <w:tc>
          <w:tcPr>
            <w:tcW w:w="2835" w:type="dxa"/>
            <w:tcBorders>
              <w:top w:val="nil"/>
              <w:left w:val="nil"/>
              <w:bottom w:val="nil"/>
              <w:right w:val="nil"/>
            </w:tcBorders>
          </w:tcPr>
          <w:p w14:paraId="73381E27"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HIGH *IFRS year + 3</w:t>
            </w:r>
          </w:p>
        </w:tc>
        <w:tc>
          <w:tcPr>
            <w:tcW w:w="2127" w:type="dxa"/>
            <w:tcBorders>
              <w:top w:val="nil"/>
              <w:left w:val="nil"/>
              <w:bottom w:val="nil"/>
              <w:right w:val="nil"/>
            </w:tcBorders>
          </w:tcPr>
          <w:p w14:paraId="4AE9A665"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0.038</w:t>
            </w:r>
          </w:p>
        </w:tc>
        <w:tc>
          <w:tcPr>
            <w:tcW w:w="1842" w:type="dxa"/>
            <w:tcBorders>
              <w:top w:val="nil"/>
              <w:left w:val="nil"/>
              <w:bottom w:val="nil"/>
              <w:right w:val="nil"/>
            </w:tcBorders>
          </w:tcPr>
          <w:p w14:paraId="00A13DA6"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w:t>
            </w:r>
          </w:p>
        </w:tc>
        <w:tc>
          <w:tcPr>
            <w:tcW w:w="1418" w:type="dxa"/>
            <w:tcBorders>
              <w:top w:val="nil"/>
              <w:left w:val="nil"/>
              <w:bottom w:val="nil"/>
              <w:right w:val="nil"/>
            </w:tcBorders>
          </w:tcPr>
          <w:p w14:paraId="44C6AB52"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w:t>
            </w:r>
          </w:p>
        </w:tc>
      </w:tr>
      <w:tr w:rsidR="00706A69" w14:paraId="40C6AB1E" w14:textId="77777777" w:rsidTr="00A72BD1">
        <w:trPr>
          <w:jc w:val="center"/>
        </w:trPr>
        <w:tc>
          <w:tcPr>
            <w:tcW w:w="2835" w:type="dxa"/>
            <w:tcBorders>
              <w:top w:val="nil"/>
              <w:left w:val="nil"/>
              <w:bottom w:val="nil"/>
              <w:right w:val="nil"/>
            </w:tcBorders>
          </w:tcPr>
          <w:p w14:paraId="726018D8"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p>
        </w:tc>
        <w:tc>
          <w:tcPr>
            <w:tcW w:w="2127" w:type="dxa"/>
            <w:tcBorders>
              <w:top w:val="nil"/>
              <w:left w:val="nil"/>
              <w:bottom w:val="nil"/>
              <w:right w:val="nil"/>
            </w:tcBorders>
          </w:tcPr>
          <w:p w14:paraId="6BA5F879"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(0.35)</w:t>
            </w:r>
          </w:p>
        </w:tc>
        <w:tc>
          <w:tcPr>
            <w:tcW w:w="1842" w:type="dxa"/>
            <w:tcBorders>
              <w:top w:val="nil"/>
              <w:left w:val="nil"/>
              <w:bottom w:val="nil"/>
              <w:right w:val="nil"/>
            </w:tcBorders>
          </w:tcPr>
          <w:p w14:paraId="593A2A46"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(0.33)</w:t>
            </w:r>
          </w:p>
        </w:tc>
        <w:tc>
          <w:tcPr>
            <w:tcW w:w="1418" w:type="dxa"/>
            <w:tcBorders>
              <w:top w:val="nil"/>
              <w:left w:val="nil"/>
              <w:bottom w:val="nil"/>
              <w:right w:val="nil"/>
            </w:tcBorders>
          </w:tcPr>
          <w:p w14:paraId="2774A40F"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(-0.15)</w:t>
            </w:r>
          </w:p>
        </w:tc>
      </w:tr>
      <w:tr w:rsidR="00706A69" w14:paraId="1B43263A" w14:textId="77777777" w:rsidTr="00A72BD1">
        <w:trPr>
          <w:jc w:val="center"/>
        </w:trPr>
        <w:tc>
          <w:tcPr>
            <w:tcW w:w="2835" w:type="dxa"/>
            <w:tcBorders>
              <w:top w:val="nil"/>
              <w:left w:val="nil"/>
              <w:bottom w:val="nil"/>
              <w:right w:val="nil"/>
            </w:tcBorders>
            <w:vAlign w:val="center"/>
          </w:tcPr>
          <w:p w14:paraId="209F654F"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r w:rsidRPr="003C71A0">
              <w:rPr>
                <w:rFonts w:ascii="Times New Roman" w:hAnsi="Times New Roman"/>
                <w:color w:val="000000"/>
                <w:sz w:val="24"/>
                <w:szCs w:val="24"/>
              </w:rPr>
              <w:t>MVE</w:t>
            </w:r>
          </w:p>
        </w:tc>
        <w:tc>
          <w:tcPr>
            <w:tcW w:w="2127" w:type="dxa"/>
            <w:tcBorders>
              <w:top w:val="nil"/>
              <w:left w:val="nil"/>
              <w:bottom w:val="nil"/>
              <w:right w:val="nil"/>
            </w:tcBorders>
          </w:tcPr>
          <w:p w14:paraId="1DFE3F26"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0.021</w:t>
            </w:r>
          </w:p>
        </w:tc>
        <w:tc>
          <w:tcPr>
            <w:tcW w:w="1842" w:type="dxa"/>
            <w:tcBorders>
              <w:top w:val="nil"/>
              <w:left w:val="nil"/>
              <w:bottom w:val="nil"/>
              <w:right w:val="nil"/>
            </w:tcBorders>
          </w:tcPr>
          <w:p w14:paraId="3DC9582A"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w:t>
            </w:r>
          </w:p>
        </w:tc>
        <w:tc>
          <w:tcPr>
            <w:tcW w:w="1418" w:type="dxa"/>
            <w:tcBorders>
              <w:top w:val="nil"/>
              <w:left w:val="nil"/>
              <w:bottom w:val="nil"/>
              <w:right w:val="nil"/>
            </w:tcBorders>
          </w:tcPr>
          <w:p w14:paraId="70482869"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w:t>
            </w:r>
          </w:p>
        </w:tc>
      </w:tr>
      <w:tr w:rsidR="00706A69" w14:paraId="64603E3F" w14:textId="77777777" w:rsidTr="00A72BD1">
        <w:trPr>
          <w:jc w:val="center"/>
        </w:trPr>
        <w:tc>
          <w:tcPr>
            <w:tcW w:w="2835" w:type="dxa"/>
            <w:tcBorders>
              <w:top w:val="nil"/>
              <w:left w:val="nil"/>
              <w:bottom w:val="nil"/>
              <w:right w:val="nil"/>
            </w:tcBorders>
            <w:vAlign w:val="center"/>
          </w:tcPr>
          <w:p w14:paraId="7A1E5011"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p>
        </w:tc>
        <w:tc>
          <w:tcPr>
            <w:tcW w:w="2127" w:type="dxa"/>
            <w:tcBorders>
              <w:top w:val="nil"/>
              <w:left w:val="nil"/>
              <w:bottom w:val="nil"/>
              <w:right w:val="nil"/>
            </w:tcBorders>
          </w:tcPr>
          <w:p w14:paraId="77F28393"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(0.69)</w:t>
            </w:r>
          </w:p>
        </w:tc>
        <w:tc>
          <w:tcPr>
            <w:tcW w:w="1842" w:type="dxa"/>
            <w:tcBorders>
              <w:top w:val="nil"/>
              <w:left w:val="nil"/>
              <w:bottom w:val="nil"/>
              <w:right w:val="nil"/>
            </w:tcBorders>
          </w:tcPr>
          <w:p w14:paraId="2DAE91B8"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(0.27)</w:t>
            </w:r>
          </w:p>
        </w:tc>
        <w:tc>
          <w:tcPr>
            <w:tcW w:w="1418" w:type="dxa"/>
            <w:tcBorders>
              <w:top w:val="nil"/>
              <w:left w:val="nil"/>
              <w:bottom w:val="nil"/>
              <w:right w:val="nil"/>
            </w:tcBorders>
          </w:tcPr>
          <w:p w14:paraId="1D19084D"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(0.74)</w:t>
            </w:r>
          </w:p>
        </w:tc>
      </w:tr>
      <w:tr w:rsidR="00706A69" w14:paraId="294196A7" w14:textId="77777777" w:rsidTr="00A72BD1">
        <w:trPr>
          <w:jc w:val="center"/>
        </w:trPr>
        <w:tc>
          <w:tcPr>
            <w:tcW w:w="2835" w:type="dxa"/>
            <w:tcBorders>
              <w:top w:val="nil"/>
              <w:left w:val="nil"/>
              <w:bottom w:val="nil"/>
              <w:right w:val="nil"/>
            </w:tcBorders>
          </w:tcPr>
          <w:p w14:paraId="5B40F3A4" w14:textId="3ACD92F0"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olor w:val="000000"/>
                <w:sz w:val="24"/>
                <w:szCs w:val="24"/>
              </w:rPr>
              <w:t>TOBIN</w:t>
            </w:r>
            <w:r w:rsidR="004E3FB1">
              <w:rPr>
                <w:rFonts w:ascii="Times New Roman" w:hAnsi="Times New Roman"/>
                <w:color w:val="000000"/>
                <w:sz w:val="24"/>
                <w:szCs w:val="24"/>
              </w:rPr>
              <w:t>’s</w:t>
            </w:r>
            <w:r>
              <w:rPr>
                <w:rFonts w:ascii="Times New Roman" w:hAnsi="Times New Roman"/>
                <w:color w:val="000000"/>
                <w:sz w:val="24"/>
                <w:szCs w:val="24"/>
              </w:rPr>
              <w:t xml:space="preserve"> Q</w:t>
            </w:r>
          </w:p>
        </w:tc>
        <w:tc>
          <w:tcPr>
            <w:tcW w:w="2127" w:type="dxa"/>
            <w:tcBorders>
              <w:top w:val="nil"/>
              <w:left w:val="nil"/>
              <w:bottom w:val="nil"/>
              <w:right w:val="nil"/>
            </w:tcBorders>
          </w:tcPr>
          <w:p w14:paraId="65CFC4F9"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0.003</w:t>
            </w:r>
          </w:p>
        </w:tc>
        <w:tc>
          <w:tcPr>
            <w:tcW w:w="1842" w:type="dxa"/>
            <w:tcBorders>
              <w:top w:val="nil"/>
              <w:left w:val="nil"/>
              <w:bottom w:val="nil"/>
              <w:right w:val="nil"/>
            </w:tcBorders>
          </w:tcPr>
          <w:p w14:paraId="6EC481F6"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w:t>
            </w:r>
          </w:p>
        </w:tc>
        <w:tc>
          <w:tcPr>
            <w:tcW w:w="1418" w:type="dxa"/>
            <w:tcBorders>
              <w:top w:val="nil"/>
              <w:left w:val="nil"/>
              <w:bottom w:val="nil"/>
              <w:right w:val="nil"/>
            </w:tcBorders>
          </w:tcPr>
          <w:p w14:paraId="03BA9DBA"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w:t>
            </w:r>
          </w:p>
        </w:tc>
      </w:tr>
      <w:tr w:rsidR="00706A69" w14:paraId="7D176AD9" w14:textId="77777777" w:rsidTr="00A72BD1">
        <w:trPr>
          <w:jc w:val="center"/>
        </w:trPr>
        <w:tc>
          <w:tcPr>
            <w:tcW w:w="2835" w:type="dxa"/>
            <w:tcBorders>
              <w:top w:val="nil"/>
              <w:left w:val="nil"/>
              <w:bottom w:val="nil"/>
              <w:right w:val="nil"/>
            </w:tcBorders>
          </w:tcPr>
          <w:p w14:paraId="543D5357"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p>
        </w:tc>
        <w:tc>
          <w:tcPr>
            <w:tcW w:w="2127" w:type="dxa"/>
            <w:tcBorders>
              <w:top w:val="nil"/>
              <w:left w:val="nil"/>
              <w:bottom w:val="nil"/>
              <w:right w:val="nil"/>
            </w:tcBorders>
          </w:tcPr>
          <w:p w14:paraId="4FB3262B"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(0.55)</w:t>
            </w:r>
          </w:p>
        </w:tc>
        <w:tc>
          <w:tcPr>
            <w:tcW w:w="1842" w:type="dxa"/>
            <w:tcBorders>
              <w:top w:val="nil"/>
              <w:left w:val="nil"/>
              <w:bottom w:val="nil"/>
              <w:right w:val="nil"/>
            </w:tcBorders>
          </w:tcPr>
          <w:p w14:paraId="26CC193D"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(-0.77)</w:t>
            </w:r>
          </w:p>
        </w:tc>
        <w:tc>
          <w:tcPr>
            <w:tcW w:w="1418" w:type="dxa"/>
            <w:tcBorders>
              <w:top w:val="nil"/>
              <w:left w:val="nil"/>
              <w:bottom w:val="nil"/>
              <w:right w:val="nil"/>
            </w:tcBorders>
          </w:tcPr>
          <w:p w14:paraId="7EF0F5EC"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(-0.67)</w:t>
            </w:r>
          </w:p>
        </w:tc>
      </w:tr>
      <w:tr w:rsidR="00706A69" w14:paraId="54E8A655" w14:textId="77777777" w:rsidTr="00A72BD1">
        <w:trPr>
          <w:jc w:val="center"/>
        </w:trPr>
        <w:tc>
          <w:tcPr>
            <w:tcW w:w="2835" w:type="dxa"/>
            <w:tcBorders>
              <w:top w:val="nil"/>
              <w:left w:val="nil"/>
              <w:bottom w:val="nil"/>
              <w:right w:val="nil"/>
            </w:tcBorders>
          </w:tcPr>
          <w:p w14:paraId="066AFA73"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GROWTH</w:t>
            </w:r>
          </w:p>
        </w:tc>
        <w:tc>
          <w:tcPr>
            <w:tcW w:w="2127" w:type="dxa"/>
            <w:tcBorders>
              <w:top w:val="nil"/>
              <w:left w:val="nil"/>
              <w:bottom w:val="nil"/>
              <w:right w:val="nil"/>
            </w:tcBorders>
          </w:tcPr>
          <w:p w14:paraId="5116CBBE"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0.578***</w:t>
            </w:r>
          </w:p>
        </w:tc>
        <w:tc>
          <w:tcPr>
            <w:tcW w:w="1842" w:type="dxa"/>
            <w:tcBorders>
              <w:top w:val="nil"/>
              <w:left w:val="nil"/>
              <w:bottom w:val="nil"/>
              <w:right w:val="nil"/>
            </w:tcBorders>
          </w:tcPr>
          <w:p w14:paraId="72931A2D"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0.059***</w:t>
            </w:r>
          </w:p>
        </w:tc>
        <w:tc>
          <w:tcPr>
            <w:tcW w:w="1418" w:type="dxa"/>
            <w:tcBorders>
              <w:top w:val="nil"/>
              <w:left w:val="nil"/>
              <w:bottom w:val="nil"/>
              <w:right w:val="nil"/>
            </w:tcBorders>
          </w:tcPr>
          <w:p w14:paraId="10602E9B"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0.052***</w:t>
            </w:r>
          </w:p>
        </w:tc>
      </w:tr>
      <w:tr w:rsidR="00706A69" w14:paraId="387C7ECC" w14:textId="77777777" w:rsidTr="00A72BD1">
        <w:trPr>
          <w:jc w:val="center"/>
        </w:trPr>
        <w:tc>
          <w:tcPr>
            <w:tcW w:w="2835" w:type="dxa"/>
            <w:tcBorders>
              <w:top w:val="nil"/>
              <w:left w:val="nil"/>
              <w:bottom w:val="nil"/>
              <w:right w:val="nil"/>
            </w:tcBorders>
          </w:tcPr>
          <w:p w14:paraId="7C41E34A"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p>
        </w:tc>
        <w:tc>
          <w:tcPr>
            <w:tcW w:w="2127" w:type="dxa"/>
            <w:tcBorders>
              <w:top w:val="nil"/>
              <w:left w:val="nil"/>
              <w:bottom w:val="nil"/>
              <w:right w:val="nil"/>
            </w:tcBorders>
          </w:tcPr>
          <w:p w14:paraId="06B99AFA"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(4.43)</w:t>
            </w:r>
          </w:p>
        </w:tc>
        <w:tc>
          <w:tcPr>
            <w:tcW w:w="1842" w:type="dxa"/>
            <w:tcBorders>
              <w:top w:val="nil"/>
              <w:left w:val="nil"/>
              <w:bottom w:val="nil"/>
              <w:right w:val="nil"/>
            </w:tcBorders>
          </w:tcPr>
          <w:p w14:paraId="197B1D7F"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(5.72)</w:t>
            </w:r>
          </w:p>
        </w:tc>
        <w:tc>
          <w:tcPr>
            <w:tcW w:w="1418" w:type="dxa"/>
            <w:tcBorders>
              <w:top w:val="nil"/>
              <w:left w:val="nil"/>
              <w:bottom w:val="nil"/>
              <w:right w:val="nil"/>
            </w:tcBorders>
          </w:tcPr>
          <w:p w14:paraId="23275F37"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(3.75)</w:t>
            </w:r>
          </w:p>
        </w:tc>
      </w:tr>
      <w:tr w:rsidR="00706A69" w14:paraId="71BFC27B" w14:textId="77777777" w:rsidTr="00A72BD1">
        <w:trPr>
          <w:jc w:val="center"/>
        </w:trPr>
        <w:tc>
          <w:tcPr>
            <w:tcW w:w="2835" w:type="dxa"/>
            <w:tcBorders>
              <w:top w:val="nil"/>
              <w:left w:val="nil"/>
              <w:bottom w:val="nil"/>
              <w:right w:val="nil"/>
            </w:tcBorders>
          </w:tcPr>
          <w:p w14:paraId="1B192C55"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LEVERAGE</w:t>
            </w:r>
          </w:p>
        </w:tc>
        <w:tc>
          <w:tcPr>
            <w:tcW w:w="2127" w:type="dxa"/>
            <w:tcBorders>
              <w:top w:val="nil"/>
              <w:left w:val="nil"/>
              <w:bottom w:val="nil"/>
              <w:right w:val="nil"/>
            </w:tcBorders>
          </w:tcPr>
          <w:p w14:paraId="2FC672A6"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-2.594***</w:t>
            </w:r>
          </w:p>
        </w:tc>
        <w:tc>
          <w:tcPr>
            <w:tcW w:w="1842" w:type="dxa"/>
            <w:tcBorders>
              <w:top w:val="nil"/>
              <w:left w:val="nil"/>
              <w:bottom w:val="nil"/>
              <w:right w:val="nil"/>
            </w:tcBorders>
          </w:tcPr>
          <w:p w14:paraId="6B2925DD"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-0.224***</w:t>
            </w:r>
          </w:p>
        </w:tc>
        <w:tc>
          <w:tcPr>
            <w:tcW w:w="1418" w:type="dxa"/>
            <w:tcBorders>
              <w:top w:val="nil"/>
              <w:left w:val="nil"/>
              <w:bottom w:val="nil"/>
              <w:right w:val="nil"/>
            </w:tcBorders>
          </w:tcPr>
          <w:p w14:paraId="249E8E24"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-0.197**</w:t>
            </w:r>
          </w:p>
        </w:tc>
      </w:tr>
      <w:tr w:rsidR="00706A69" w14:paraId="5CC65B94" w14:textId="77777777" w:rsidTr="00A72BD1">
        <w:trPr>
          <w:jc w:val="center"/>
        </w:trPr>
        <w:tc>
          <w:tcPr>
            <w:tcW w:w="2835" w:type="dxa"/>
            <w:tcBorders>
              <w:top w:val="nil"/>
              <w:left w:val="nil"/>
              <w:bottom w:val="nil"/>
              <w:right w:val="nil"/>
            </w:tcBorders>
          </w:tcPr>
          <w:p w14:paraId="6494ECDB"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p>
        </w:tc>
        <w:tc>
          <w:tcPr>
            <w:tcW w:w="2127" w:type="dxa"/>
            <w:tcBorders>
              <w:top w:val="nil"/>
              <w:left w:val="nil"/>
              <w:bottom w:val="nil"/>
              <w:right w:val="nil"/>
            </w:tcBorders>
          </w:tcPr>
          <w:p w14:paraId="404F7748"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(-3.07)</w:t>
            </w:r>
          </w:p>
        </w:tc>
        <w:tc>
          <w:tcPr>
            <w:tcW w:w="1842" w:type="dxa"/>
            <w:tcBorders>
              <w:top w:val="nil"/>
              <w:left w:val="nil"/>
              <w:bottom w:val="nil"/>
              <w:right w:val="nil"/>
            </w:tcBorders>
          </w:tcPr>
          <w:p w14:paraId="439FEA4F"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1418" w:type="dxa"/>
            <w:tcBorders>
              <w:top w:val="nil"/>
              <w:left w:val="nil"/>
              <w:bottom w:val="nil"/>
              <w:right w:val="nil"/>
            </w:tcBorders>
          </w:tcPr>
          <w:p w14:paraId="68ECBAC7"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(-2.31)</w:t>
            </w:r>
          </w:p>
        </w:tc>
      </w:tr>
      <w:tr w:rsidR="00706A69" w14:paraId="589D28B6" w14:textId="77777777" w:rsidTr="00A72BD1">
        <w:trPr>
          <w:jc w:val="center"/>
        </w:trPr>
        <w:tc>
          <w:tcPr>
            <w:tcW w:w="2835" w:type="dxa"/>
            <w:tcBorders>
              <w:top w:val="nil"/>
              <w:left w:val="nil"/>
              <w:bottom w:val="nil"/>
              <w:right w:val="nil"/>
            </w:tcBorders>
          </w:tcPr>
          <w:p w14:paraId="40B41D33"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CFO</w:t>
            </w:r>
          </w:p>
        </w:tc>
        <w:tc>
          <w:tcPr>
            <w:tcW w:w="2127" w:type="dxa"/>
            <w:tcBorders>
              <w:top w:val="nil"/>
              <w:left w:val="nil"/>
              <w:bottom w:val="nil"/>
              <w:right w:val="nil"/>
            </w:tcBorders>
          </w:tcPr>
          <w:p w14:paraId="58D0FE99"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0.775</w:t>
            </w:r>
          </w:p>
        </w:tc>
        <w:tc>
          <w:tcPr>
            <w:tcW w:w="1842" w:type="dxa"/>
            <w:tcBorders>
              <w:top w:val="nil"/>
              <w:left w:val="nil"/>
              <w:bottom w:val="nil"/>
              <w:right w:val="nil"/>
            </w:tcBorders>
          </w:tcPr>
          <w:p w14:paraId="64C421F3"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0.133**</w:t>
            </w:r>
          </w:p>
        </w:tc>
        <w:tc>
          <w:tcPr>
            <w:tcW w:w="1418" w:type="dxa"/>
            <w:tcBorders>
              <w:top w:val="nil"/>
              <w:left w:val="nil"/>
              <w:bottom w:val="nil"/>
              <w:right w:val="nil"/>
            </w:tcBorders>
          </w:tcPr>
          <w:p w14:paraId="53575678"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0.032</w:t>
            </w:r>
          </w:p>
        </w:tc>
      </w:tr>
      <w:tr w:rsidR="00706A69" w14:paraId="76F0B031" w14:textId="77777777" w:rsidTr="00A72BD1">
        <w:trPr>
          <w:jc w:val="center"/>
        </w:trPr>
        <w:tc>
          <w:tcPr>
            <w:tcW w:w="2835" w:type="dxa"/>
            <w:tcBorders>
              <w:top w:val="nil"/>
              <w:left w:val="nil"/>
              <w:bottom w:val="nil"/>
              <w:right w:val="nil"/>
            </w:tcBorders>
          </w:tcPr>
          <w:p w14:paraId="202FB645"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p>
        </w:tc>
        <w:tc>
          <w:tcPr>
            <w:tcW w:w="2127" w:type="dxa"/>
            <w:tcBorders>
              <w:top w:val="nil"/>
              <w:left w:val="nil"/>
              <w:bottom w:val="nil"/>
              <w:right w:val="nil"/>
            </w:tcBorders>
          </w:tcPr>
          <w:p w14:paraId="61703AF9"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(1.17)</w:t>
            </w:r>
          </w:p>
        </w:tc>
        <w:tc>
          <w:tcPr>
            <w:tcW w:w="1842" w:type="dxa"/>
            <w:tcBorders>
              <w:top w:val="nil"/>
              <w:left w:val="nil"/>
              <w:bottom w:val="nil"/>
              <w:right w:val="nil"/>
            </w:tcBorders>
          </w:tcPr>
          <w:p w14:paraId="29934E5B"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(2.07)</w:t>
            </w:r>
          </w:p>
        </w:tc>
        <w:tc>
          <w:tcPr>
            <w:tcW w:w="1418" w:type="dxa"/>
            <w:tcBorders>
              <w:top w:val="nil"/>
              <w:left w:val="nil"/>
              <w:bottom w:val="nil"/>
              <w:right w:val="nil"/>
            </w:tcBorders>
          </w:tcPr>
          <w:p w14:paraId="1331C21E"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(0.37)</w:t>
            </w:r>
          </w:p>
        </w:tc>
      </w:tr>
      <w:tr w:rsidR="00706A69" w14:paraId="31ADAE63" w14:textId="77777777" w:rsidTr="00A72BD1">
        <w:trPr>
          <w:jc w:val="center"/>
        </w:trPr>
        <w:tc>
          <w:tcPr>
            <w:tcW w:w="2835" w:type="dxa"/>
            <w:tcBorders>
              <w:top w:val="nil"/>
              <w:left w:val="nil"/>
              <w:bottom w:val="nil"/>
              <w:right w:val="nil"/>
            </w:tcBorders>
          </w:tcPr>
          <w:p w14:paraId="0AA449F4"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CASHEQ</w:t>
            </w:r>
          </w:p>
        </w:tc>
        <w:tc>
          <w:tcPr>
            <w:tcW w:w="2127" w:type="dxa"/>
            <w:tcBorders>
              <w:top w:val="nil"/>
              <w:left w:val="nil"/>
              <w:bottom w:val="nil"/>
              <w:right w:val="nil"/>
            </w:tcBorders>
          </w:tcPr>
          <w:p w14:paraId="5BB5DCBF"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-1.151*</w:t>
            </w:r>
          </w:p>
        </w:tc>
        <w:tc>
          <w:tcPr>
            <w:tcW w:w="1842" w:type="dxa"/>
            <w:tcBorders>
              <w:top w:val="nil"/>
              <w:left w:val="nil"/>
              <w:bottom w:val="nil"/>
              <w:right w:val="nil"/>
            </w:tcBorders>
          </w:tcPr>
          <w:p w14:paraId="6AE273AF"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-0.062</w:t>
            </w:r>
          </w:p>
        </w:tc>
        <w:tc>
          <w:tcPr>
            <w:tcW w:w="1418" w:type="dxa"/>
            <w:tcBorders>
              <w:top w:val="nil"/>
              <w:left w:val="nil"/>
              <w:bottom w:val="nil"/>
              <w:right w:val="nil"/>
            </w:tcBorders>
          </w:tcPr>
          <w:p w14:paraId="0C7CFAC9"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-0.063</w:t>
            </w:r>
          </w:p>
        </w:tc>
      </w:tr>
      <w:tr w:rsidR="00706A69" w14:paraId="303D6C1F" w14:textId="77777777" w:rsidTr="00A72BD1">
        <w:trPr>
          <w:jc w:val="center"/>
        </w:trPr>
        <w:tc>
          <w:tcPr>
            <w:tcW w:w="2835" w:type="dxa"/>
            <w:tcBorders>
              <w:top w:val="nil"/>
              <w:left w:val="nil"/>
              <w:bottom w:val="nil"/>
              <w:right w:val="nil"/>
            </w:tcBorders>
          </w:tcPr>
          <w:p w14:paraId="6F07DCBC"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p>
        </w:tc>
        <w:tc>
          <w:tcPr>
            <w:tcW w:w="2127" w:type="dxa"/>
            <w:tcBorders>
              <w:top w:val="nil"/>
              <w:left w:val="nil"/>
              <w:bottom w:val="nil"/>
              <w:right w:val="nil"/>
            </w:tcBorders>
          </w:tcPr>
          <w:p w14:paraId="1BAC1129"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(-1.77)</w:t>
            </w:r>
          </w:p>
        </w:tc>
        <w:tc>
          <w:tcPr>
            <w:tcW w:w="1842" w:type="dxa"/>
            <w:tcBorders>
              <w:top w:val="nil"/>
              <w:left w:val="nil"/>
              <w:bottom w:val="nil"/>
              <w:right w:val="nil"/>
            </w:tcBorders>
          </w:tcPr>
          <w:p w14:paraId="331B04EC"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(-1.24)</w:t>
            </w:r>
          </w:p>
        </w:tc>
        <w:tc>
          <w:tcPr>
            <w:tcW w:w="1418" w:type="dxa"/>
            <w:tcBorders>
              <w:top w:val="nil"/>
              <w:left w:val="nil"/>
              <w:bottom w:val="nil"/>
              <w:right w:val="nil"/>
            </w:tcBorders>
          </w:tcPr>
          <w:p w14:paraId="2E989FF6"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(-0.81)</w:t>
            </w:r>
          </w:p>
        </w:tc>
      </w:tr>
      <w:tr w:rsidR="00706A69" w14:paraId="05F1E1AA" w14:textId="77777777" w:rsidTr="00A72BD1">
        <w:trPr>
          <w:jc w:val="center"/>
        </w:trPr>
        <w:tc>
          <w:tcPr>
            <w:tcW w:w="2835" w:type="dxa"/>
            <w:tcBorders>
              <w:top w:val="nil"/>
              <w:left w:val="nil"/>
              <w:bottom w:val="nil"/>
              <w:right w:val="nil"/>
            </w:tcBorders>
          </w:tcPr>
          <w:p w14:paraId="3F69AD3D"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p>
        </w:tc>
        <w:tc>
          <w:tcPr>
            <w:tcW w:w="2127" w:type="dxa"/>
            <w:tcBorders>
              <w:top w:val="nil"/>
              <w:left w:val="nil"/>
              <w:bottom w:val="nil"/>
              <w:right w:val="nil"/>
            </w:tcBorders>
          </w:tcPr>
          <w:p w14:paraId="5427DE0B"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p>
        </w:tc>
        <w:tc>
          <w:tcPr>
            <w:tcW w:w="1842" w:type="dxa"/>
            <w:tcBorders>
              <w:top w:val="nil"/>
              <w:left w:val="nil"/>
              <w:bottom w:val="nil"/>
              <w:right w:val="nil"/>
            </w:tcBorders>
          </w:tcPr>
          <w:p w14:paraId="187E2085"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p>
        </w:tc>
        <w:tc>
          <w:tcPr>
            <w:tcW w:w="1418" w:type="dxa"/>
            <w:tcBorders>
              <w:top w:val="nil"/>
              <w:left w:val="nil"/>
              <w:bottom w:val="nil"/>
              <w:right w:val="nil"/>
            </w:tcBorders>
          </w:tcPr>
          <w:p w14:paraId="39B23D99"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p>
        </w:tc>
      </w:tr>
      <w:tr w:rsidR="00706A69" w14:paraId="299D5C6C" w14:textId="77777777" w:rsidTr="00A72BD1">
        <w:trPr>
          <w:jc w:val="center"/>
        </w:trPr>
        <w:tc>
          <w:tcPr>
            <w:tcW w:w="2835" w:type="dxa"/>
            <w:tcBorders>
              <w:top w:val="nil"/>
              <w:left w:val="nil"/>
              <w:bottom w:val="nil"/>
              <w:right w:val="nil"/>
            </w:tcBorders>
          </w:tcPr>
          <w:p w14:paraId="2B6AEA63"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Observations</w:t>
            </w:r>
          </w:p>
        </w:tc>
        <w:tc>
          <w:tcPr>
            <w:tcW w:w="2127" w:type="dxa"/>
            <w:tcBorders>
              <w:top w:val="nil"/>
              <w:left w:val="nil"/>
              <w:bottom w:val="nil"/>
              <w:right w:val="nil"/>
            </w:tcBorders>
          </w:tcPr>
          <w:p w14:paraId="3FAE9136"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640</w:t>
            </w:r>
          </w:p>
        </w:tc>
        <w:tc>
          <w:tcPr>
            <w:tcW w:w="1842" w:type="dxa"/>
            <w:tcBorders>
              <w:top w:val="nil"/>
              <w:left w:val="nil"/>
              <w:bottom w:val="nil"/>
              <w:right w:val="nil"/>
            </w:tcBorders>
          </w:tcPr>
          <w:p w14:paraId="270595C4"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640</w:t>
            </w:r>
          </w:p>
        </w:tc>
        <w:tc>
          <w:tcPr>
            <w:tcW w:w="1418" w:type="dxa"/>
            <w:tcBorders>
              <w:top w:val="nil"/>
              <w:left w:val="nil"/>
              <w:bottom w:val="nil"/>
              <w:right w:val="nil"/>
            </w:tcBorders>
          </w:tcPr>
          <w:p w14:paraId="1C4F4F2E"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632</w:t>
            </w:r>
          </w:p>
        </w:tc>
      </w:tr>
      <w:tr w:rsidR="00706A69" w14:paraId="3DB1ECED" w14:textId="77777777" w:rsidTr="00A72BD1">
        <w:trPr>
          <w:jc w:val="center"/>
        </w:trPr>
        <w:tc>
          <w:tcPr>
            <w:tcW w:w="2835" w:type="dxa"/>
            <w:tcBorders>
              <w:top w:val="nil"/>
              <w:left w:val="nil"/>
              <w:bottom w:val="nil"/>
              <w:right w:val="nil"/>
            </w:tcBorders>
            <w:vAlign w:val="center"/>
          </w:tcPr>
          <w:p w14:paraId="14EF645E"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olor w:val="000000"/>
                <w:sz w:val="24"/>
                <w:szCs w:val="24"/>
              </w:rPr>
              <w:t>Firm FE</w:t>
            </w:r>
          </w:p>
        </w:tc>
        <w:tc>
          <w:tcPr>
            <w:tcW w:w="2127" w:type="dxa"/>
            <w:tcBorders>
              <w:top w:val="nil"/>
              <w:left w:val="nil"/>
              <w:bottom w:val="nil"/>
              <w:right w:val="nil"/>
            </w:tcBorders>
            <w:vAlign w:val="center"/>
          </w:tcPr>
          <w:p w14:paraId="3EEA286A"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olor w:val="000000"/>
                <w:sz w:val="24"/>
                <w:szCs w:val="24"/>
              </w:rPr>
              <w:t>Included</w:t>
            </w:r>
          </w:p>
        </w:tc>
        <w:tc>
          <w:tcPr>
            <w:tcW w:w="1842" w:type="dxa"/>
            <w:tcBorders>
              <w:top w:val="nil"/>
              <w:left w:val="nil"/>
              <w:bottom w:val="nil"/>
              <w:right w:val="nil"/>
            </w:tcBorders>
            <w:vAlign w:val="center"/>
          </w:tcPr>
          <w:p w14:paraId="381D422D"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olor w:val="000000"/>
                <w:sz w:val="24"/>
                <w:szCs w:val="24"/>
              </w:rPr>
              <w:t>Included</w:t>
            </w:r>
          </w:p>
        </w:tc>
        <w:tc>
          <w:tcPr>
            <w:tcW w:w="1418" w:type="dxa"/>
            <w:tcBorders>
              <w:top w:val="nil"/>
              <w:left w:val="nil"/>
              <w:bottom w:val="nil"/>
              <w:right w:val="nil"/>
            </w:tcBorders>
            <w:vAlign w:val="center"/>
          </w:tcPr>
          <w:p w14:paraId="55807FC1"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olor w:val="000000"/>
                <w:sz w:val="24"/>
                <w:szCs w:val="24"/>
              </w:rPr>
              <w:t>Included</w:t>
            </w:r>
          </w:p>
        </w:tc>
      </w:tr>
      <w:tr w:rsidR="00706A69" w14:paraId="45B47CB8" w14:textId="77777777" w:rsidTr="00A72BD1">
        <w:trPr>
          <w:jc w:val="center"/>
        </w:trPr>
        <w:tc>
          <w:tcPr>
            <w:tcW w:w="2835" w:type="dxa"/>
            <w:tcBorders>
              <w:top w:val="nil"/>
              <w:left w:val="nil"/>
              <w:bottom w:val="nil"/>
              <w:right w:val="nil"/>
            </w:tcBorders>
            <w:vAlign w:val="center"/>
          </w:tcPr>
          <w:p w14:paraId="6DDB0375"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olor w:val="000000"/>
                <w:sz w:val="24"/>
                <w:szCs w:val="24"/>
              </w:rPr>
              <w:t>Year FE</w:t>
            </w:r>
          </w:p>
        </w:tc>
        <w:tc>
          <w:tcPr>
            <w:tcW w:w="2127" w:type="dxa"/>
            <w:tcBorders>
              <w:top w:val="nil"/>
              <w:left w:val="nil"/>
              <w:bottom w:val="nil"/>
              <w:right w:val="nil"/>
            </w:tcBorders>
            <w:vAlign w:val="center"/>
          </w:tcPr>
          <w:p w14:paraId="062084A9"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olor w:val="000000"/>
                <w:sz w:val="24"/>
                <w:szCs w:val="24"/>
              </w:rPr>
              <w:t>Included</w:t>
            </w:r>
          </w:p>
        </w:tc>
        <w:tc>
          <w:tcPr>
            <w:tcW w:w="1842" w:type="dxa"/>
            <w:tcBorders>
              <w:top w:val="nil"/>
              <w:left w:val="nil"/>
              <w:bottom w:val="nil"/>
              <w:right w:val="nil"/>
            </w:tcBorders>
            <w:vAlign w:val="center"/>
          </w:tcPr>
          <w:p w14:paraId="288E0344"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olor w:val="000000"/>
                <w:sz w:val="24"/>
                <w:szCs w:val="24"/>
              </w:rPr>
              <w:t>Included</w:t>
            </w:r>
          </w:p>
        </w:tc>
        <w:tc>
          <w:tcPr>
            <w:tcW w:w="1418" w:type="dxa"/>
            <w:tcBorders>
              <w:top w:val="nil"/>
              <w:left w:val="nil"/>
              <w:bottom w:val="nil"/>
              <w:right w:val="nil"/>
            </w:tcBorders>
            <w:vAlign w:val="center"/>
          </w:tcPr>
          <w:p w14:paraId="6B200032"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olor w:val="000000"/>
                <w:sz w:val="24"/>
                <w:szCs w:val="24"/>
              </w:rPr>
              <w:t>Included</w:t>
            </w:r>
          </w:p>
        </w:tc>
      </w:tr>
      <w:tr w:rsidR="00706A69" w14:paraId="01FFF155" w14:textId="77777777" w:rsidTr="00A72BD1">
        <w:tblPrEx>
          <w:tblBorders>
            <w:bottom w:val="single" w:sz="6" w:space="0" w:color="auto"/>
          </w:tblBorders>
        </w:tblPrEx>
        <w:trPr>
          <w:jc w:val="center"/>
        </w:trPr>
        <w:tc>
          <w:tcPr>
            <w:tcW w:w="2835" w:type="dxa"/>
            <w:tcBorders>
              <w:top w:val="nil"/>
              <w:left w:val="nil"/>
              <w:bottom w:val="single" w:sz="6" w:space="0" w:color="auto"/>
              <w:right w:val="nil"/>
            </w:tcBorders>
          </w:tcPr>
          <w:p w14:paraId="382170BE"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Adj. R-squared</w:t>
            </w:r>
          </w:p>
        </w:tc>
        <w:tc>
          <w:tcPr>
            <w:tcW w:w="2127" w:type="dxa"/>
            <w:tcBorders>
              <w:top w:val="nil"/>
              <w:left w:val="nil"/>
              <w:bottom w:val="single" w:sz="6" w:space="0" w:color="auto"/>
              <w:right w:val="nil"/>
            </w:tcBorders>
          </w:tcPr>
          <w:p w14:paraId="75EEF0F4"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0.0805</w:t>
            </w:r>
          </w:p>
        </w:tc>
        <w:tc>
          <w:tcPr>
            <w:tcW w:w="1842" w:type="dxa"/>
            <w:tcBorders>
              <w:top w:val="nil"/>
              <w:left w:val="nil"/>
              <w:bottom w:val="single" w:sz="6" w:space="0" w:color="auto"/>
              <w:right w:val="nil"/>
            </w:tcBorders>
          </w:tcPr>
          <w:p w14:paraId="6A9EA8DD"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0.151</w:t>
            </w:r>
          </w:p>
        </w:tc>
        <w:tc>
          <w:tcPr>
            <w:tcW w:w="1418" w:type="dxa"/>
            <w:tcBorders>
              <w:top w:val="nil"/>
              <w:left w:val="nil"/>
              <w:bottom w:val="single" w:sz="6" w:space="0" w:color="auto"/>
              <w:right w:val="nil"/>
            </w:tcBorders>
          </w:tcPr>
          <w:p w14:paraId="63C11999"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0.139</w:t>
            </w:r>
          </w:p>
        </w:tc>
      </w:tr>
    </w:tbl>
    <w:p w14:paraId="46A843C0" w14:textId="1AE9DD0F" w:rsidR="00706A69" w:rsidRDefault="00706A69" w:rsidP="00AE251F">
      <w:pPr>
        <w:spacing w:line="240" w:lineRule="auto"/>
        <w:contextualSpacing/>
        <w:rPr>
          <w:rFonts w:ascii="Times New Roman" w:hAnsi="Times New Roman"/>
          <w:b/>
          <w:sz w:val="24"/>
          <w:szCs w:val="24"/>
        </w:rPr>
      </w:pPr>
    </w:p>
    <w:p w14:paraId="39AEF843" w14:textId="5E87C91E" w:rsidR="00AE251F" w:rsidRDefault="00AE251F" w:rsidP="001B234D">
      <w:pPr>
        <w:pBdr>
          <w:bottom w:val="single" w:sz="12" w:space="1" w:color="auto"/>
        </w:pBdr>
        <w:tabs>
          <w:tab w:val="left" w:pos="8670"/>
        </w:tabs>
        <w:spacing w:line="240" w:lineRule="auto"/>
        <w:contextualSpacing/>
        <w:rPr>
          <w:rFonts w:ascii="Times New Roman" w:hAnsi="Times New Roman"/>
          <w:sz w:val="24"/>
          <w:szCs w:val="24"/>
        </w:rPr>
      </w:pPr>
    </w:p>
    <w:p w14:paraId="5D2E11C6" w14:textId="071A2CB2" w:rsidR="00063BEA" w:rsidRDefault="00063BEA" w:rsidP="00AE251F">
      <w:pPr>
        <w:spacing w:line="240" w:lineRule="auto"/>
        <w:contextualSpacing/>
        <w:jc w:val="center"/>
        <w:rPr>
          <w:rFonts w:ascii="Times New Roman" w:hAnsi="Times New Roman"/>
          <w:b/>
          <w:sz w:val="24"/>
          <w:szCs w:val="24"/>
        </w:rPr>
      </w:pPr>
    </w:p>
    <w:p w14:paraId="12316955" w14:textId="08DCAFD2" w:rsidR="0006627E" w:rsidRDefault="0006627E" w:rsidP="00AE251F">
      <w:pPr>
        <w:spacing w:line="240" w:lineRule="auto"/>
        <w:contextualSpacing/>
        <w:jc w:val="center"/>
        <w:rPr>
          <w:rFonts w:ascii="Times New Roman" w:hAnsi="Times New Roman"/>
          <w:b/>
          <w:sz w:val="24"/>
          <w:szCs w:val="24"/>
        </w:rPr>
      </w:pPr>
    </w:p>
    <w:p w14:paraId="1551C2E4" w14:textId="413E18BB" w:rsidR="0006627E" w:rsidRDefault="0006627E" w:rsidP="00AE251F">
      <w:pPr>
        <w:spacing w:line="240" w:lineRule="auto"/>
        <w:contextualSpacing/>
        <w:jc w:val="center"/>
        <w:rPr>
          <w:rFonts w:ascii="Times New Roman" w:hAnsi="Times New Roman"/>
          <w:b/>
          <w:sz w:val="24"/>
          <w:szCs w:val="24"/>
        </w:rPr>
      </w:pPr>
    </w:p>
    <w:p w14:paraId="06478BF0" w14:textId="0A9052F3" w:rsidR="0006627E" w:rsidRDefault="0006627E" w:rsidP="00AE251F">
      <w:pPr>
        <w:spacing w:line="240" w:lineRule="auto"/>
        <w:contextualSpacing/>
        <w:jc w:val="center"/>
        <w:rPr>
          <w:rFonts w:ascii="Times New Roman" w:hAnsi="Times New Roman"/>
          <w:b/>
          <w:sz w:val="24"/>
          <w:szCs w:val="24"/>
        </w:rPr>
      </w:pPr>
    </w:p>
    <w:p w14:paraId="5DCAFB62" w14:textId="65CA5A78" w:rsidR="0006627E" w:rsidRDefault="0006627E" w:rsidP="00AE251F">
      <w:pPr>
        <w:spacing w:line="240" w:lineRule="auto"/>
        <w:contextualSpacing/>
        <w:jc w:val="center"/>
        <w:rPr>
          <w:rFonts w:ascii="Times New Roman" w:hAnsi="Times New Roman"/>
          <w:b/>
          <w:sz w:val="24"/>
          <w:szCs w:val="24"/>
        </w:rPr>
      </w:pPr>
    </w:p>
    <w:p w14:paraId="1EFDA39C" w14:textId="77777777" w:rsidR="0006627E" w:rsidRDefault="0006627E" w:rsidP="00AE251F">
      <w:pPr>
        <w:spacing w:line="240" w:lineRule="auto"/>
        <w:contextualSpacing/>
        <w:jc w:val="center"/>
        <w:rPr>
          <w:rFonts w:ascii="Times New Roman" w:hAnsi="Times New Roman"/>
          <w:b/>
          <w:sz w:val="24"/>
          <w:szCs w:val="24"/>
        </w:rPr>
      </w:pPr>
    </w:p>
    <w:p w14:paraId="76BF996B" w14:textId="77777777" w:rsidR="0006627E" w:rsidRDefault="0006627E" w:rsidP="00E4121E">
      <w:pPr>
        <w:tabs>
          <w:tab w:val="left" w:pos="720"/>
        </w:tabs>
        <w:spacing w:after="0" w:line="240" w:lineRule="auto"/>
        <w:rPr>
          <w:rFonts w:ascii="Times New Roman" w:hAnsi="Times New Roman"/>
          <w:sz w:val="24"/>
          <w:szCs w:val="24"/>
          <w:vertAlign w:val="superscript"/>
        </w:rPr>
      </w:pPr>
    </w:p>
    <w:p w14:paraId="36EDB0D1" w14:textId="22337107" w:rsidR="0006627E" w:rsidRDefault="0006627E" w:rsidP="007D15F5">
      <w:pPr>
        <w:ind w:left="3600" w:firstLine="720"/>
        <w:contextualSpacing/>
        <w:rPr>
          <w:rFonts w:ascii="Times New Roman" w:hAnsi="Times New Roman"/>
          <w:b/>
          <w:sz w:val="24"/>
          <w:szCs w:val="24"/>
        </w:rPr>
      </w:pPr>
      <w:r>
        <w:rPr>
          <w:rFonts w:ascii="Times New Roman" w:hAnsi="Times New Roman"/>
          <w:b/>
          <w:sz w:val="24"/>
          <w:szCs w:val="24"/>
        </w:rPr>
        <w:t>Table 9 - Continued</w:t>
      </w:r>
    </w:p>
    <w:p w14:paraId="57A5183E" w14:textId="77777777" w:rsidR="0006627E" w:rsidRDefault="0006627E" w:rsidP="0006627E">
      <w:pPr>
        <w:pBdr>
          <w:bottom w:val="single" w:sz="12" w:space="1" w:color="auto"/>
        </w:pBdr>
        <w:spacing w:line="240" w:lineRule="auto"/>
        <w:contextualSpacing/>
        <w:jc w:val="center"/>
        <w:rPr>
          <w:rFonts w:ascii="Times New Roman" w:hAnsi="Times New Roman"/>
          <w:sz w:val="24"/>
          <w:szCs w:val="24"/>
        </w:rPr>
      </w:pPr>
      <w:r>
        <w:rPr>
          <w:rFonts w:ascii="Times New Roman" w:hAnsi="Times New Roman"/>
          <w:b/>
          <w:sz w:val="24"/>
          <w:szCs w:val="24"/>
        </w:rPr>
        <w:t>High Growth vs Low Growth Switchers</w:t>
      </w:r>
      <w:r>
        <w:rPr>
          <w:rFonts w:ascii="Times New Roman" w:hAnsi="Times New Roman"/>
          <w:b/>
          <w:sz w:val="24"/>
          <w:szCs w:val="24"/>
          <w:vertAlign w:val="superscript"/>
        </w:rPr>
        <w:t>a</w:t>
      </w:r>
    </w:p>
    <w:p w14:paraId="6AC6D646" w14:textId="6BF1A9DD" w:rsidR="00AE251F" w:rsidRDefault="00AE251F" w:rsidP="00C02101">
      <w:pPr>
        <w:tabs>
          <w:tab w:val="left" w:pos="720"/>
        </w:tabs>
        <w:spacing w:after="0" w:line="240" w:lineRule="auto"/>
        <w:jc w:val="both"/>
        <w:rPr>
          <w:rFonts w:ascii="Times New Roman" w:hAnsi="Times New Roman"/>
          <w:sz w:val="24"/>
          <w:szCs w:val="24"/>
        </w:rPr>
      </w:pPr>
      <w:r>
        <w:rPr>
          <w:rFonts w:ascii="Times New Roman" w:hAnsi="Times New Roman"/>
          <w:sz w:val="24"/>
          <w:szCs w:val="24"/>
          <w:vertAlign w:val="superscript"/>
        </w:rPr>
        <w:t>a</w:t>
      </w:r>
      <w:r w:rsidRPr="0080751D">
        <w:rPr>
          <w:rFonts w:ascii="Times New Roman" w:hAnsi="Times New Roman"/>
          <w:sz w:val="24"/>
          <w:szCs w:val="24"/>
        </w:rPr>
        <w:t>Th</w:t>
      </w:r>
      <w:r>
        <w:rPr>
          <w:rFonts w:ascii="Times New Roman" w:hAnsi="Times New Roman"/>
          <w:sz w:val="24"/>
          <w:szCs w:val="24"/>
        </w:rPr>
        <w:t>is</w:t>
      </w:r>
      <w:r w:rsidRPr="0080751D">
        <w:rPr>
          <w:rFonts w:ascii="Times New Roman" w:hAnsi="Times New Roman"/>
          <w:sz w:val="24"/>
          <w:szCs w:val="24"/>
        </w:rPr>
        <w:t xml:space="preserve"> table </w:t>
      </w:r>
      <w:r>
        <w:rPr>
          <w:rFonts w:ascii="Times New Roman" w:hAnsi="Times New Roman"/>
          <w:sz w:val="24"/>
          <w:szCs w:val="24"/>
        </w:rPr>
        <w:t xml:space="preserve">reports the coefficient </w:t>
      </w:r>
      <w:r w:rsidRPr="0080751D">
        <w:rPr>
          <w:rFonts w:ascii="Times New Roman" w:hAnsi="Times New Roman"/>
          <w:sz w:val="24"/>
          <w:szCs w:val="24"/>
        </w:rPr>
        <w:t xml:space="preserve">estimates </w:t>
      </w:r>
      <w:r>
        <w:rPr>
          <w:rFonts w:ascii="Times New Roman" w:hAnsi="Times New Roman"/>
          <w:sz w:val="24"/>
          <w:szCs w:val="24"/>
        </w:rPr>
        <w:t xml:space="preserve">and t-statistics </w:t>
      </w:r>
      <w:r w:rsidRPr="0080751D">
        <w:rPr>
          <w:rFonts w:ascii="Times New Roman" w:hAnsi="Times New Roman"/>
          <w:sz w:val="24"/>
          <w:szCs w:val="24"/>
        </w:rPr>
        <w:t xml:space="preserve">from the following regression: </w:t>
      </w:r>
      <w:r w:rsidR="00706A69" w:rsidRPr="00C11785">
        <w:rPr>
          <w:rFonts w:ascii="Times New Roman" w:hAnsi="Times New Roman" w:cs="Times New Roman"/>
          <w:sz w:val="24"/>
          <w:szCs w:val="24"/>
        </w:rPr>
        <w:t>R&amp;D</w:t>
      </w:r>
      <w:r w:rsidR="00706A69">
        <w:rPr>
          <w:rFonts w:ascii="Times New Roman" w:hAnsi="Times New Roman" w:cs="Times New Roman"/>
          <w:sz w:val="24"/>
          <w:szCs w:val="24"/>
        </w:rPr>
        <w:t xml:space="preserve"> Growth = </w:t>
      </w:r>
      <w:r w:rsidR="00F327C9">
        <w:rPr>
          <w:rFonts w:ascii="Symbol" w:hAnsi="Symbol" w:cs="Times New Roman"/>
          <w:sz w:val="24"/>
          <w:szCs w:val="24"/>
        </w:rPr>
        <w:t></w:t>
      </w:r>
      <w:r w:rsidR="00706A69" w:rsidRPr="00DF2E72">
        <w:rPr>
          <w:rFonts w:ascii="Times New Roman" w:hAnsi="Times New Roman" w:cs="Times New Roman"/>
          <w:sz w:val="24"/>
          <w:szCs w:val="24"/>
          <w:vertAlign w:val="subscript"/>
        </w:rPr>
        <w:t xml:space="preserve">0 </w:t>
      </w:r>
      <w:r w:rsidR="00706A69">
        <w:rPr>
          <w:rFonts w:ascii="Times New Roman" w:hAnsi="Times New Roman" w:cs="Times New Roman"/>
          <w:sz w:val="24"/>
          <w:szCs w:val="24"/>
        </w:rPr>
        <w:t>+ ∑</w:t>
      </w:r>
      <w:r w:rsidR="00706A69" w:rsidRPr="0012154E">
        <w:rPr>
          <w:rFonts w:ascii="Times New Roman" w:hAnsi="Times New Roman" w:cs="Times New Roman"/>
          <w:sz w:val="24"/>
          <w:szCs w:val="24"/>
          <w:vertAlign w:val="subscript"/>
        </w:rPr>
        <w:t xml:space="preserve">t </w:t>
      </w:r>
      <w:r w:rsidR="00706A69">
        <w:rPr>
          <w:rFonts w:ascii="Symbol" w:hAnsi="Symbol" w:cs="Times New Roman"/>
          <w:sz w:val="24"/>
          <w:szCs w:val="24"/>
        </w:rPr>
        <w:t></w:t>
      </w:r>
      <w:r w:rsidR="00706A69" w:rsidRPr="0012154E">
        <w:rPr>
          <w:rFonts w:ascii="Times New Roman" w:hAnsi="Times New Roman" w:cs="Times New Roman"/>
          <w:sz w:val="24"/>
          <w:szCs w:val="24"/>
          <w:vertAlign w:val="subscript"/>
        </w:rPr>
        <w:t>t</w:t>
      </w:r>
      <w:r w:rsidR="00706A69">
        <w:rPr>
          <w:rFonts w:ascii="Times New Roman" w:hAnsi="Times New Roman" w:cs="Times New Roman"/>
          <w:sz w:val="24"/>
          <w:szCs w:val="24"/>
        </w:rPr>
        <w:t>HIGH*IFRS</w:t>
      </w:r>
      <w:r w:rsidR="00706A69" w:rsidRPr="0012154E">
        <w:rPr>
          <w:rFonts w:ascii="Times New Roman" w:hAnsi="Times New Roman" w:cs="Times New Roman"/>
          <w:sz w:val="24"/>
          <w:szCs w:val="24"/>
          <w:vertAlign w:val="subscript"/>
        </w:rPr>
        <w:t xml:space="preserve">t </w:t>
      </w:r>
      <w:r w:rsidR="00706A69">
        <w:rPr>
          <w:rFonts w:ascii="Times New Roman" w:hAnsi="Times New Roman" w:cs="Times New Roman"/>
          <w:sz w:val="24"/>
          <w:szCs w:val="24"/>
        </w:rPr>
        <w:t>+ ∑</w:t>
      </w:r>
      <w:r w:rsidR="00706A69" w:rsidRPr="0012154E">
        <w:rPr>
          <w:rFonts w:ascii="Times New Roman" w:hAnsi="Times New Roman" w:cs="Times New Roman"/>
          <w:sz w:val="24"/>
          <w:szCs w:val="24"/>
          <w:vertAlign w:val="subscript"/>
        </w:rPr>
        <w:t>i</w:t>
      </w:r>
      <w:r w:rsidR="00706A69">
        <w:rPr>
          <w:rFonts w:ascii="Symbol" w:hAnsi="Symbol" w:cs="Times New Roman"/>
          <w:sz w:val="24"/>
          <w:szCs w:val="24"/>
        </w:rPr>
        <w:sym w:font="Symbol" w:char="F046"/>
      </w:r>
      <w:r w:rsidR="00706A69">
        <w:rPr>
          <w:rFonts w:ascii="Times New Roman" w:hAnsi="Times New Roman" w:cs="Times New Roman"/>
          <w:sz w:val="24"/>
          <w:szCs w:val="24"/>
          <w:vertAlign w:val="subscript"/>
        </w:rPr>
        <w:t>i</w:t>
      </w:r>
      <w:r w:rsidR="00706A69">
        <w:rPr>
          <w:rFonts w:ascii="Times New Roman" w:hAnsi="Times New Roman" w:cs="Times New Roman"/>
          <w:sz w:val="24"/>
          <w:szCs w:val="24"/>
        </w:rPr>
        <w:t>Control</w:t>
      </w:r>
      <w:r w:rsidR="00706A69" w:rsidRPr="0012154E">
        <w:rPr>
          <w:rFonts w:ascii="Times New Roman" w:hAnsi="Times New Roman" w:cs="Times New Roman"/>
          <w:sz w:val="24"/>
          <w:szCs w:val="24"/>
          <w:vertAlign w:val="subscript"/>
        </w:rPr>
        <w:t xml:space="preserve">i </w:t>
      </w:r>
      <w:r w:rsidR="00706A69">
        <w:rPr>
          <w:rFonts w:ascii="Times New Roman" w:hAnsi="Times New Roman" w:cs="Times New Roman"/>
          <w:sz w:val="24"/>
          <w:szCs w:val="24"/>
        </w:rPr>
        <w:t xml:space="preserve">+ firm fixed effects + year fixed effects + </w:t>
      </w:r>
      <w:r w:rsidR="00706A69" w:rsidRPr="00480C6E">
        <w:rPr>
          <w:rFonts w:ascii="Symbol" w:hAnsi="Symbol" w:cs="Times New Roman"/>
          <w:sz w:val="24"/>
          <w:szCs w:val="24"/>
        </w:rPr>
        <w:t></w:t>
      </w:r>
      <w:r w:rsidR="00706A69">
        <w:rPr>
          <w:rFonts w:ascii="Times New Roman" w:hAnsi="Times New Roman" w:cs="Times New Roman"/>
          <w:sz w:val="24"/>
          <w:szCs w:val="24"/>
        </w:rPr>
        <w:t xml:space="preserve">       </w:t>
      </w:r>
    </w:p>
    <w:p w14:paraId="69173410" w14:textId="77777777" w:rsidR="00AE251F" w:rsidRDefault="00AE251F" w:rsidP="00C02101">
      <w:pPr>
        <w:spacing w:line="240" w:lineRule="auto"/>
        <w:contextualSpacing/>
        <w:jc w:val="both"/>
        <w:rPr>
          <w:rFonts w:ascii="Times New Roman" w:hAnsi="Times New Roman"/>
          <w:sz w:val="24"/>
          <w:szCs w:val="24"/>
        </w:rPr>
      </w:pPr>
    </w:p>
    <w:p w14:paraId="3A3534BC" w14:textId="18E15DFB" w:rsidR="00AE251F" w:rsidRPr="005137F2" w:rsidRDefault="00304302" w:rsidP="00C02101">
      <w:pPr>
        <w:jc w:val="both"/>
        <w:rPr>
          <w:rFonts w:ascii="Times New Roman" w:hAnsi="Times New Roman" w:cs="Times New Roman"/>
          <w:sz w:val="24"/>
          <w:szCs w:val="24"/>
        </w:rPr>
      </w:pPr>
      <w:r>
        <w:rPr>
          <w:rFonts w:ascii="Times New Roman" w:hAnsi="Times New Roman"/>
          <w:sz w:val="24"/>
          <w:szCs w:val="24"/>
        </w:rPr>
        <w:t>The dependent variable (R&amp;D Growth) is measured as follows: RD_Gwth</w:t>
      </w:r>
      <w:r w:rsidRPr="00FD3A6E">
        <w:rPr>
          <w:rFonts w:ascii="Times New Roman" w:hAnsi="Times New Roman"/>
          <w:sz w:val="24"/>
          <w:szCs w:val="24"/>
        </w:rPr>
        <w:t xml:space="preserve"> </w:t>
      </w:r>
      <w:r>
        <w:rPr>
          <w:rFonts w:ascii="Times New Roman" w:hAnsi="Times New Roman"/>
          <w:sz w:val="24"/>
          <w:szCs w:val="24"/>
        </w:rPr>
        <w:t>is the change in R&amp;D expenditures divided by lagged R&amp;D expenditures;</w:t>
      </w:r>
      <w:r w:rsidRPr="00FD3A6E">
        <w:rPr>
          <w:rFonts w:ascii="Times New Roman" w:hAnsi="Times New Roman"/>
          <w:sz w:val="24"/>
          <w:szCs w:val="24"/>
        </w:rPr>
        <w:t xml:space="preserve"> </w:t>
      </w:r>
      <w:r>
        <w:rPr>
          <w:rFonts w:ascii="Times New Roman" w:hAnsi="Times New Roman"/>
          <w:sz w:val="24"/>
          <w:szCs w:val="24"/>
        </w:rPr>
        <w:t>RD_TA is the change in R&amp;D expenditures scaled by lagged total assets</w:t>
      </w:r>
      <w:r w:rsidR="00FA2728">
        <w:rPr>
          <w:rFonts w:ascii="Times New Roman" w:hAnsi="Times New Roman"/>
          <w:sz w:val="24"/>
          <w:szCs w:val="24"/>
        </w:rPr>
        <w:t xml:space="preserve">; RD_Sales is the change in R&amp;D expenditures divided by lagged sales. </w:t>
      </w:r>
      <w:r w:rsidR="00AE251F">
        <w:rPr>
          <w:rFonts w:ascii="Times New Roman" w:hAnsi="Times New Roman"/>
          <w:sz w:val="24"/>
          <w:szCs w:val="24"/>
        </w:rPr>
        <w:t xml:space="preserve">HIGH is an indicator variable equal to 1 (0) for switching firms that had above (below) the median </w:t>
      </w:r>
      <w:r>
        <w:rPr>
          <w:rFonts w:ascii="Times New Roman" w:hAnsi="Times New Roman"/>
          <w:sz w:val="24"/>
          <w:szCs w:val="24"/>
        </w:rPr>
        <w:t>M/B ratio</w:t>
      </w:r>
      <w:r w:rsidR="00B71B8C">
        <w:rPr>
          <w:rFonts w:ascii="Times New Roman" w:hAnsi="Times New Roman"/>
          <w:sz w:val="24"/>
          <w:szCs w:val="24"/>
        </w:rPr>
        <w:t xml:space="preserve"> in the last year of UK GAAP</w:t>
      </w:r>
      <w:r w:rsidR="00561EE4">
        <w:rPr>
          <w:rFonts w:ascii="Times New Roman" w:hAnsi="Times New Roman"/>
          <w:sz w:val="24"/>
          <w:szCs w:val="24"/>
        </w:rPr>
        <w:t>.</w:t>
      </w:r>
      <w:r w:rsidR="00AE251F">
        <w:rPr>
          <w:rFonts w:ascii="Times New Roman" w:hAnsi="Times New Roman"/>
          <w:sz w:val="24"/>
          <w:szCs w:val="24"/>
        </w:rPr>
        <w:t xml:space="preserve"> </w:t>
      </w:r>
      <w:r w:rsidRPr="005137F2">
        <w:rPr>
          <w:rFonts w:ascii="Times New Roman" w:hAnsi="Times New Roman" w:cs="Times New Roman"/>
          <w:sz w:val="24"/>
          <w:szCs w:val="24"/>
        </w:rPr>
        <w:t>IFRS</w:t>
      </w:r>
      <w:r w:rsidRPr="005137F2">
        <w:rPr>
          <w:rFonts w:ascii="Times New Roman" w:hAnsi="Times New Roman" w:cs="Times New Roman"/>
          <w:sz w:val="24"/>
          <w:szCs w:val="24"/>
          <w:vertAlign w:val="subscript"/>
        </w:rPr>
        <w:t>t</w:t>
      </w:r>
      <w:r w:rsidRPr="005137F2">
        <w:rPr>
          <w:rFonts w:ascii="Times New Roman" w:hAnsi="Times New Roman" w:cs="Times New Roman"/>
          <w:sz w:val="24"/>
          <w:szCs w:val="24"/>
        </w:rPr>
        <w:t xml:space="preserve"> are a sequence of indicator variables that equals 1 in the year t relative to IFRS period (2005 and beyond) and 0 otherwise, where t runs from </w:t>
      </w:r>
      <w:r w:rsidR="00EE37C3" w:rsidRPr="005137F2">
        <w:rPr>
          <w:rFonts w:ascii="Times New Roman" w:hAnsi="Times New Roman" w:cs="Times New Roman"/>
          <w:sz w:val="24"/>
          <w:szCs w:val="24"/>
        </w:rPr>
        <w:t>-</w:t>
      </w:r>
      <w:r w:rsidRPr="005137F2">
        <w:rPr>
          <w:rFonts w:ascii="Times New Roman" w:hAnsi="Times New Roman" w:cs="Times New Roman"/>
          <w:sz w:val="24"/>
          <w:szCs w:val="24"/>
        </w:rPr>
        <w:t>4 to +3 (i.e., 4 years before through 3 years after IFRS adoption). See Table 6 for the definition of the control variables.</w:t>
      </w:r>
    </w:p>
    <w:p w14:paraId="2634F1DB" w14:textId="315A4B4C" w:rsidR="00AE251F" w:rsidRPr="0080751D" w:rsidRDefault="00AE251F" w:rsidP="00C02101">
      <w:pPr>
        <w:spacing w:line="240" w:lineRule="auto"/>
        <w:contextualSpacing/>
        <w:jc w:val="both"/>
        <w:rPr>
          <w:rFonts w:ascii="Times New Roman" w:hAnsi="Times New Roman"/>
          <w:sz w:val="24"/>
          <w:szCs w:val="24"/>
        </w:rPr>
      </w:pPr>
      <w:r>
        <w:rPr>
          <w:rFonts w:ascii="Times New Roman" w:hAnsi="Times New Roman"/>
          <w:sz w:val="24"/>
          <w:szCs w:val="24"/>
        </w:rPr>
        <w:t>S</w:t>
      </w:r>
      <w:r w:rsidRPr="0080751D">
        <w:rPr>
          <w:rFonts w:ascii="Times New Roman" w:hAnsi="Times New Roman"/>
          <w:sz w:val="24"/>
          <w:szCs w:val="24"/>
        </w:rPr>
        <w:t>tandard errors are clustered by firm.</w:t>
      </w:r>
      <w:r>
        <w:rPr>
          <w:rFonts w:ascii="Times New Roman" w:hAnsi="Times New Roman"/>
          <w:sz w:val="24"/>
          <w:szCs w:val="24"/>
        </w:rPr>
        <w:t xml:space="preserve"> </w:t>
      </w:r>
    </w:p>
    <w:p w14:paraId="582F2511" w14:textId="77777777" w:rsidR="00AE251F" w:rsidRDefault="00AE251F" w:rsidP="00C02101">
      <w:pPr>
        <w:spacing w:before="100" w:beforeAutospacing="1" w:after="0" w:line="240" w:lineRule="auto"/>
        <w:contextualSpacing/>
        <w:jc w:val="both"/>
        <w:rPr>
          <w:rFonts w:ascii="Times New Roman" w:hAnsi="Times New Roman"/>
          <w:sz w:val="24"/>
          <w:szCs w:val="24"/>
        </w:rPr>
      </w:pPr>
    </w:p>
    <w:p w14:paraId="23ADD418" w14:textId="77777777" w:rsidR="00AE251F" w:rsidRPr="0080751D" w:rsidRDefault="00AE251F" w:rsidP="00C02101">
      <w:pPr>
        <w:spacing w:before="100" w:beforeAutospacing="1" w:after="0" w:line="240" w:lineRule="auto"/>
        <w:contextualSpacing/>
        <w:jc w:val="both"/>
        <w:rPr>
          <w:rFonts w:ascii="Times New Roman" w:hAnsi="Times New Roman"/>
          <w:sz w:val="24"/>
          <w:szCs w:val="24"/>
        </w:rPr>
      </w:pPr>
      <w:r w:rsidRPr="0080751D">
        <w:rPr>
          <w:rFonts w:ascii="Times New Roman" w:hAnsi="Times New Roman"/>
          <w:sz w:val="24"/>
          <w:szCs w:val="24"/>
        </w:rPr>
        <w:t>*, ** and *** indicate significance at the 0.10, 0.05 and 0.01 levels, respectively.</w:t>
      </w:r>
    </w:p>
    <w:p w14:paraId="5EAE6B2B" w14:textId="77777777" w:rsidR="00AE251F" w:rsidRDefault="00AE251F" w:rsidP="00AE251F">
      <w:pPr>
        <w:rPr>
          <w:rFonts w:ascii="Times New Roman" w:hAnsi="Times New Roman"/>
          <w:sz w:val="24"/>
          <w:szCs w:val="24"/>
        </w:rPr>
      </w:pPr>
      <w:r>
        <w:rPr>
          <w:rFonts w:ascii="Times New Roman" w:hAnsi="Times New Roman"/>
          <w:sz w:val="24"/>
          <w:szCs w:val="24"/>
        </w:rPr>
        <w:br w:type="page"/>
      </w:r>
    </w:p>
    <w:p w14:paraId="13A15E56" w14:textId="09A0866B" w:rsidR="00AE251F" w:rsidRDefault="00AE251F" w:rsidP="00AE251F">
      <w:pPr>
        <w:spacing w:line="240" w:lineRule="auto"/>
        <w:contextualSpacing/>
        <w:jc w:val="center"/>
        <w:rPr>
          <w:rFonts w:ascii="Times New Roman" w:hAnsi="Times New Roman"/>
          <w:b/>
          <w:sz w:val="24"/>
          <w:szCs w:val="24"/>
        </w:rPr>
      </w:pPr>
      <w:r>
        <w:rPr>
          <w:rFonts w:ascii="Times New Roman" w:hAnsi="Times New Roman"/>
          <w:b/>
          <w:sz w:val="24"/>
          <w:szCs w:val="24"/>
        </w:rPr>
        <w:t>Table 1</w:t>
      </w:r>
      <w:r w:rsidR="00706A69">
        <w:rPr>
          <w:rFonts w:ascii="Times New Roman" w:hAnsi="Times New Roman"/>
          <w:b/>
          <w:sz w:val="24"/>
          <w:szCs w:val="24"/>
        </w:rPr>
        <w:t>0</w:t>
      </w:r>
    </w:p>
    <w:p w14:paraId="30ACBF91" w14:textId="77777777" w:rsidR="00AE251F" w:rsidRDefault="00AE251F" w:rsidP="00AE251F">
      <w:pPr>
        <w:pBdr>
          <w:bottom w:val="single" w:sz="12" w:space="1" w:color="auto"/>
        </w:pBdr>
        <w:spacing w:line="240" w:lineRule="auto"/>
        <w:contextualSpacing/>
        <w:jc w:val="center"/>
        <w:rPr>
          <w:rFonts w:ascii="Times New Roman" w:hAnsi="Times New Roman"/>
          <w:b/>
          <w:sz w:val="24"/>
          <w:szCs w:val="24"/>
        </w:rPr>
      </w:pPr>
      <w:r>
        <w:rPr>
          <w:rFonts w:ascii="Times New Roman" w:hAnsi="Times New Roman"/>
          <w:b/>
          <w:sz w:val="24"/>
          <w:szCs w:val="24"/>
        </w:rPr>
        <w:t>SG&amp;A Expenditures</w:t>
      </w:r>
      <w:r>
        <w:rPr>
          <w:rFonts w:ascii="Times New Roman" w:hAnsi="Times New Roman"/>
          <w:b/>
          <w:sz w:val="24"/>
          <w:szCs w:val="24"/>
          <w:vertAlign w:val="superscript"/>
        </w:rPr>
        <w:t>a</w:t>
      </w:r>
    </w:p>
    <w:p w14:paraId="6E3DEB99" w14:textId="7E18111D" w:rsidR="00AE251F" w:rsidRDefault="00AE251F" w:rsidP="00AE251F">
      <w:pPr>
        <w:spacing w:line="240" w:lineRule="auto"/>
        <w:contextualSpacing/>
        <w:rPr>
          <w:rFonts w:ascii="Times New Roman" w:hAnsi="Times New Roman"/>
          <w:b/>
          <w:sz w:val="24"/>
          <w:szCs w:val="24"/>
        </w:rPr>
      </w:pPr>
    </w:p>
    <w:tbl>
      <w:tblPr>
        <w:tblW w:w="9073" w:type="dxa"/>
        <w:jc w:val="center"/>
        <w:tblLayout w:type="fixed"/>
        <w:tblCellMar>
          <w:left w:w="75" w:type="dxa"/>
          <w:right w:w="75" w:type="dxa"/>
        </w:tblCellMar>
        <w:tblLook w:val="0000" w:firstRow="0" w:lastRow="0" w:firstColumn="0" w:lastColumn="0" w:noHBand="0" w:noVBand="0"/>
      </w:tblPr>
      <w:tblGrid>
        <w:gridCol w:w="3545"/>
        <w:gridCol w:w="2268"/>
        <w:gridCol w:w="1584"/>
        <w:gridCol w:w="1676"/>
      </w:tblGrid>
      <w:tr w:rsidR="00706A69" w14:paraId="0A4B053C" w14:textId="77777777" w:rsidTr="00A72BD1">
        <w:trPr>
          <w:jc w:val="center"/>
        </w:trPr>
        <w:tc>
          <w:tcPr>
            <w:tcW w:w="3545" w:type="dxa"/>
            <w:tcBorders>
              <w:top w:val="single" w:sz="6" w:space="0" w:color="auto"/>
              <w:left w:val="nil"/>
              <w:bottom w:val="nil"/>
              <w:right w:val="nil"/>
            </w:tcBorders>
          </w:tcPr>
          <w:p w14:paraId="414C36C4"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single" w:sz="6" w:space="0" w:color="auto"/>
              <w:left w:val="nil"/>
              <w:bottom w:val="nil"/>
              <w:right w:val="nil"/>
            </w:tcBorders>
          </w:tcPr>
          <w:p w14:paraId="23DDE249"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84" w:type="dxa"/>
            <w:tcBorders>
              <w:top w:val="single" w:sz="6" w:space="0" w:color="auto"/>
              <w:left w:val="nil"/>
              <w:bottom w:val="nil"/>
              <w:right w:val="nil"/>
            </w:tcBorders>
          </w:tcPr>
          <w:p w14:paraId="123EBF46"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76" w:type="dxa"/>
            <w:tcBorders>
              <w:top w:val="single" w:sz="6" w:space="0" w:color="auto"/>
              <w:left w:val="nil"/>
              <w:bottom w:val="nil"/>
              <w:right w:val="nil"/>
            </w:tcBorders>
          </w:tcPr>
          <w:p w14:paraId="0C3C8F1D"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706A69" w14:paraId="0841F005" w14:textId="77777777" w:rsidTr="00A72BD1">
        <w:trPr>
          <w:jc w:val="center"/>
        </w:trPr>
        <w:tc>
          <w:tcPr>
            <w:tcW w:w="3545" w:type="dxa"/>
            <w:tcBorders>
              <w:top w:val="nil"/>
              <w:left w:val="nil"/>
              <w:bottom w:val="single" w:sz="6" w:space="0" w:color="auto"/>
              <w:right w:val="nil"/>
            </w:tcBorders>
          </w:tcPr>
          <w:p w14:paraId="7B147D06"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VARIABLES</w:t>
            </w:r>
          </w:p>
        </w:tc>
        <w:tc>
          <w:tcPr>
            <w:tcW w:w="2268" w:type="dxa"/>
            <w:tcBorders>
              <w:top w:val="nil"/>
              <w:left w:val="nil"/>
              <w:bottom w:val="single" w:sz="6" w:space="0" w:color="auto"/>
              <w:right w:val="nil"/>
            </w:tcBorders>
            <w:vAlign w:val="center"/>
          </w:tcPr>
          <w:p w14:paraId="5C0D5227"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olor w:val="000000"/>
                <w:sz w:val="24"/>
                <w:szCs w:val="24"/>
              </w:rPr>
              <w:t>SGA</w:t>
            </w:r>
            <w:r w:rsidRPr="00A86FDC">
              <w:rPr>
                <w:rFonts w:ascii="Times New Roman" w:hAnsi="Times New Roman"/>
                <w:color w:val="000000"/>
                <w:sz w:val="24"/>
                <w:szCs w:val="24"/>
              </w:rPr>
              <w:t>_Gwth</w:t>
            </w:r>
          </w:p>
        </w:tc>
        <w:tc>
          <w:tcPr>
            <w:tcW w:w="1584" w:type="dxa"/>
            <w:tcBorders>
              <w:top w:val="nil"/>
              <w:left w:val="nil"/>
              <w:bottom w:val="single" w:sz="6" w:space="0" w:color="auto"/>
              <w:right w:val="nil"/>
            </w:tcBorders>
            <w:vAlign w:val="center"/>
          </w:tcPr>
          <w:p w14:paraId="06158F7E"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olor w:val="000000"/>
                <w:sz w:val="24"/>
                <w:szCs w:val="24"/>
              </w:rPr>
              <w:t>SGA</w:t>
            </w:r>
            <w:r w:rsidRPr="00A86FDC">
              <w:rPr>
                <w:rFonts w:ascii="Times New Roman" w:hAnsi="Times New Roman"/>
                <w:color w:val="000000"/>
                <w:sz w:val="24"/>
                <w:szCs w:val="24"/>
              </w:rPr>
              <w:t>_TA</w:t>
            </w:r>
          </w:p>
        </w:tc>
        <w:tc>
          <w:tcPr>
            <w:tcW w:w="1676" w:type="dxa"/>
            <w:tcBorders>
              <w:top w:val="nil"/>
              <w:left w:val="nil"/>
              <w:bottom w:val="single" w:sz="6" w:space="0" w:color="auto"/>
              <w:right w:val="nil"/>
            </w:tcBorders>
            <w:vAlign w:val="center"/>
          </w:tcPr>
          <w:p w14:paraId="042E88C7"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olor w:val="000000"/>
                <w:sz w:val="24"/>
                <w:szCs w:val="24"/>
              </w:rPr>
              <w:t>SGA</w:t>
            </w:r>
            <w:r w:rsidRPr="00A86FDC">
              <w:rPr>
                <w:rFonts w:ascii="Times New Roman" w:hAnsi="Times New Roman"/>
                <w:color w:val="000000"/>
                <w:sz w:val="24"/>
                <w:szCs w:val="24"/>
              </w:rPr>
              <w:t>_Sales</w:t>
            </w:r>
          </w:p>
        </w:tc>
      </w:tr>
      <w:tr w:rsidR="00706A69" w14:paraId="09E39795" w14:textId="77777777" w:rsidTr="00A72BD1">
        <w:trPr>
          <w:jc w:val="center"/>
        </w:trPr>
        <w:tc>
          <w:tcPr>
            <w:tcW w:w="3545" w:type="dxa"/>
            <w:tcBorders>
              <w:top w:val="nil"/>
              <w:left w:val="nil"/>
              <w:bottom w:val="nil"/>
              <w:right w:val="nil"/>
            </w:tcBorders>
          </w:tcPr>
          <w:p w14:paraId="64A1AC5B"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295E1645"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p>
        </w:tc>
        <w:tc>
          <w:tcPr>
            <w:tcW w:w="1584" w:type="dxa"/>
            <w:tcBorders>
              <w:top w:val="nil"/>
              <w:left w:val="nil"/>
              <w:bottom w:val="nil"/>
              <w:right w:val="nil"/>
            </w:tcBorders>
          </w:tcPr>
          <w:p w14:paraId="19892E89"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p>
        </w:tc>
        <w:tc>
          <w:tcPr>
            <w:tcW w:w="1676" w:type="dxa"/>
            <w:tcBorders>
              <w:top w:val="nil"/>
              <w:left w:val="nil"/>
              <w:bottom w:val="nil"/>
              <w:right w:val="nil"/>
            </w:tcBorders>
          </w:tcPr>
          <w:p w14:paraId="3ECAEC9A"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p>
        </w:tc>
      </w:tr>
      <w:tr w:rsidR="00706A69" w14:paraId="48E9119A" w14:textId="77777777" w:rsidTr="00A72BD1">
        <w:trPr>
          <w:jc w:val="center"/>
        </w:trPr>
        <w:tc>
          <w:tcPr>
            <w:tcW w:w="3545" w:type="dxa"/>
            <w:tcBorders>
              <w:top w:val="nil"/>
              <w:left w:val="nil"/>
              <w:bottom w:val="nil"/>
              <w:right w:val="nil"/>
            </w:tcBorders>
          </w:tcPr>
          <w:p w14:paraId="7B3AD51D"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SWITCH*IFRS year – 3</w:t>
            </w:r>
          </w:p>
        </w:tc>
        <w:tc>
          <w:tcPr>
            <w:tcW w:w="2268" w:type="dxa"/>
            <w:tcBorders>
              <w:top w:val="nil"/>
              <w:left w:val="nil"/>
              <w:bottom w:val="nil"/>
              <w:right w:val="nil"/>
            </w:tcBorders>
          </w:tcPr>
          <w:p w14:paraId="1B0EBD43"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0.066</w:t>
            </w:r>
          </w:p>
        </w:tc>
        <w:tc>
          <w:tcPr>
            <w:tcW w:w="1584" w:type="dxa"/>
            <w:tcBorders>
              <w:top w:val="nil"/>
              <w:left w:val="nil"/>
              <w:bottom w:val="nil"/>
              <w:right w:val="nil"/>
            </w:tcBorders>
          </w:tcPr>
          <w:p w14:paraId="1F7F7368"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w:t>
            </w:r>
          </w:p>
        </w:tc>
        <w:tc>
          <w:tcPr>
            <w:tcW w:w="1676" w:type="dxa"/>
            <w:tcBorders>
              <w:top w:val="nil"/>
              <w:left w:val="nil"/>
              <w:bottom w:val="nil"/>
              <w:right w:val="nil"/>
            </w:tcBorders>
          </w:tcPr>
          <w:p w14:paraId="777B1BDE"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0.034</w:t>
            </w:r>
          </w:p>
        </w:tc>
      </w:tr>
      <w:tr w:rsidR="00706A69" w14:paraId="6A886E26" w14:textId="77777777" w:rsidTr="00A72BD1">
        <w:trPr>
          <w:jc w:val="center"/>
        </w:trPr>
        <w:tc>
          <w:tcPr>
            <w:tcW w:w="3545" w:type="dxa"/>
            <w:tcBorders>
              <w:top w:val="nil"/>
              <w:left w:val="nil"/>
              <w:bottom w:val="nil"/>
              <w:right w:val="nil"/>
            </w:tcBorders>
          </w:tcPr>
          <w:p w14:paraId="305527D3"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4DE58C30"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(0.87)</w:t>
            </w:r>
          </w:p>
        </w:tc>
        <w:tc>
          <w:tcPr>
            <w:tcW w:w="1584" w:type="dxa"/>
            <w:tcBorders>
              <w:top w:val="nil"/>
              <w:left w:val="nil"/>
              <w:bottom w:val="nil"/>
              <w:right w:val="nil"/>
            </w:tcBorders>
          </w:tcPr>
          <w:p w14:paraId="7A3FF2AA"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676" w:type="dxa"/>
            <w:tcBorders>
              <w:top w:val="nil"/>
              <w:left w:val="nil"/>
              <w:bottom w:val="nil"/>
              <w:right w:val="nil"/>
            </w:tcBorders>
          </w:tcPr>
          <w:p w14:paraId="024D4CD0"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(0.82)</w:t>
            </w:r>
          </w:p>
        </w:tc>
      </w:tr>
      <w:tr w:rsidR="00706A69" w14:paraId="32AC6F9B" w14:textId="77777777" w:rsidTr="00A72BD1">
        <w:trPr>
          <w:jc w:val="center"/>
        </w:trPr>
        <w:tc>
          <w:tcPr>
            <w:tcW w:w="3545" w:type="dxa"/>
            <w:tcBorders>
              <w:top w:val="nil"/>
              <w:left w:val="nil"/>
              <w:bottom w:val="nil"/>
              <w:right w:val="nil"/>
            </w:tcBorders>
          </w:tcPr>
          <w:p w14:paraId="0EF6968E"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SWITCH*IFRS year – 2</w:t>
            </w:r>
          </w:p>
        </w:tc>
        <w:tc>
          <w:tcPr>
            <w:tcW w:w="2268" w:type="dxa"/>
            <w:tcBorders>
              <w:top w:val="nil"/>
              <w:left w:val="nil"/>
              <w:bottom w:val="nil"/>
              <w:right w:val="nil"/>
            </w:tcBorders>
          </w:tcPr>
          <w:p w14:paraId="24FA7B89"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0.031</w:t>
            </w:r>
          </w:p>
        </w:tc>
        <w:tc>
          <w:tcPr>
            <w:tcW w:w="1584" w:type="dxa"/>
            <w:tcBorders>
              <w:top w:val="nil"/>
              <w:left w:val="nil"/>
              <w:bottom w:val="nil"/>
              <w:right w:val="nil"/>
            </w:tcBorders>
          </w:tcPr>
          <w:p w14:paraId="38620838"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w:t>
            </w:r>
          </w:p>
        </w:tc>
        <w:tc>
          <w:tcPr>
            <w:tcW w:w="1676" w:type="dxa"/>
            <w:tcBorders>
              <w:top w:val="nil"/>
              <w:left w:val="nil"/>
              <w:bottom w:val="nil"/>
              <w:right w:val="nil"/>
            </w:tcBorders>
          </w:tcPr>
          <w:p w14:paraId="23E210D5"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-0.037</w:t>
            </w:r>
          </w:p>
        </w:tc>
      </w:tr>
      <w:tr w:rsidR="00706A69" w14:paraId="304006D1" w14:textId="77777777" w:rsidTr="00A72BD1">
        <w:trPr>
          <w:jc w:val="center"/>
        </w:trPr>
        <w:tc>
          <w:tcPr>
            <w:tcW w:w="3545" w:type="dxa"/>
            <w:tcBorders>
              <w:top w:val="nil"/>
              <w:left w:val="nil"/>
              <w:bottom w:val="nil"/>
              <w:right w:val="nil"/>
            </w:tcBorders>
          </w:tcPr>
          <w:p w14:paraId="1C4257F1"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383468BB"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(0.38)</w:t>
            </w:r>
          </w:p>
        </w:tc>
        <w:tc>
          <w:tcPr>
            <w:tcW w:w="1584" w:type="dxa"/>
            <w:tcBorders>
              <w:top w:val="nil"/>
              <w:left w:val="nil"/>
              <w:bottom w:val="nil"/>
              <w:right w:val="nil"/>
            </w:tcBorders>
          </w:tcPr>
          <w:p w14:paraId="4DA29FE8"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(-0.05)</w:t>
            </w:r>
          </w:p>
        </w:tc>
        <w:tc>
          <w:tcPr>
            <w:tcW w:w="1676" w:type="dxa"/>
            <w:tcBorders>
              <w:top w:val="nil"/>
              <w:left w:val="nil"/>
              <w:bottom w:val="nil"/>
              <w:right w:val="nil"/>
            </w:tcBorders>
          </w:tcPr>
          <w:p w14:paraId="72DD562E"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(-0.55)</w:t>
            </w:r>
          </w:p>
        </w:tc>
      </w:tr>
      <w:tr w:rsidR="00706A69" w14:paraId="39A01DB9" w14:textId="77777777" w:rsidTr="00A72BD1">
        <w:trPr>
          <w:jc w:val="center"/>
        </w:trPr>
        <w:tc>
          <w:tcPr>
            <w:tcW w:w="3545" w:type="dxa"/>
            <w:tcBorders>
              <w:top w:val="nil"/>
              <w:left w:val="nil"/>
              <w:bottom w:val="nil"/>
              <w:right w:val="nil"/>
            </w:tcBorders>
          </w:tcPr>
          <w:p w14:paraId="23524D2E"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SWITCH*IFRS year – 1</w:t>
            </w:r>
          </w:p>
        </w:tc>
        <w:tc>
          <w:tcPr>
            <w:tcW w:w="2268" w:type="dxa"/>
            <w:tcBorders>
              <w:top w:val="nil"/>
              <w:left w:val="nil"/>
              <w:bottom w:val="nil"/>
              <w:right w:val="nil"/>
            </w:tcBorders>
          </w:tcPr>
          <w:p w14:paraId="27679B9B"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0.003</w:t>
            </w:r>
          </w:p>
        </w:tc>
        <w:tc>
          <w:tcPr>
            <w:tcW w:w="1584" w:type="dxa"/>
            <w:tcBorders>
              <w:top w:val="nil"/>
              <w:left w:val="nil"/>
              <w:bottom w:val="nil"/>
              <w:right w:val="nil"/>
            </w:tcBorders>
          </w:tcPr>
          <w:p w14:paraId="4CC93E22"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-0.017</w:t>
            </w:r>
          </w:p>
        </w:tc>
        <w:tc>
          <w:tcPr>
            <w:tcW w:w="1676" w:type="dxa"/>
            <w:tcBorders>
              <w:top w:val="nil"/>
              <w:left w:val="nil"/>
              <w:bottom w:val="nil"/>
              <w:right w:val="nil"/>
            </w:tcBorders>
          </w:tcPr>
          <w:p w14:paraId="5F617A5D"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-0.043</w:t>
            </w:r>
          </w:p>
        </w:tc>
      </w:tr>
      <w:tr w:rsidR="00706A69" w14:paraId="1CCE5983" w14:textId="77777777" w:rsidTr="00A72BD1">
        <w:trPr>
          <w:jc w:val="center"/>
        </w:trPr>
        <w:tc>
          <w:tcPr>
            <w:tcW w:w="3545" w:type="dxa"/>
            <w:tcBorders>
              <w:top w:val="nil"/>
              <w:left w:val="nil"/>
              <w:bottom w:val="nil"/>
              <w:right w:val="nil"/>
            </w:tcBorders>
          </w:tcPr>
          <w:p w14:paraId="4EA1172D"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1502F271"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w:t>
            </w:r>
          </w:p>
        </w:tc>
        <w:tc>
          <w:tcPr>
            <w:tcW w:w="1584" w:type="dxa"/>
            <w:tcBorders>
              <w:top w:val="nil"/>
              <w:left w:val="nil"/>
              <w:bottom w:val="nil"/>
              <w:right w:val="nil"/>
            </w:tcBorders>
          </w:tcPr>
          <w:p w14:paraId="2D1B8B67"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(-0.42)</w:t>
            </w:r>
          </w:p>
        </w:tc>
        <w:tc>
          <w:tcPr>
            <w:tcW w:w="1676" w:type="dxa"/>
            <w:tcBorders>
              <w:top w:val="nil"/>
              <w:left w:val="nil"/>
              <w:bottom w:val="nil"/>
              <w:right w:val="nil"/>
            </w:tcBorders>
          </w:tcPr>
          <w:p w14:paraId="14BFCAA8"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(-0.61)</w:t>
            </w:r>
          </w:p>
        </w:tc>
      </w:tr>
      <w:tr w:rsidR="00706A69" w14:paraId="0A253BA3" w14:textId="77777777" w:rsidTr="00A72BD1">
        <w:trPr>
          <w:jc w:val="center"/>
        </w:trPr>
        <w:tc>
          <w:tcPr>
            <w:tcW w:w="3545" w:type="dxa"/>
            <w:tcBorders>
              <w:top w:val="nil"/>
              <w:left w:val="nil"/>
              <w:bottom w:val="nil"/>
              <w:right w:val="nil"/>
            </w:tcBorders>
          </w:tcPr>
          <w:p w14:paraId="334CBF32"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SWITCH*IFRS year</w:t>
            </w:r>
          </w:p>
        </w:tc>
        <w:tc>
          <w:tcPr>
            <w:tcW w:w="2268" w:type="dxa"/>
            <w:tcBorders>
              <w:top w:val="nil"/>
              <w:left w:val="nil"/>
              <w:bottom w:val="nil"/>
              <w:right w:val="nil"/>
            </w:tcBorders>
          </w:tcPr>
          <w:p w14:paraId="224FBB61"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w:t>
            </w:r>
          </w:p>
        </w:tc>
        <w:tc>
          <w:tcPr>
            <w:tcW w:w="1584" w:type="dxa"/>
            <w:tcBorders>
              <w:top w:val="nil"/>
              <w:left w:val="nil"/>
              <w:bottom w:val="nil"/>
              <w:right w:val="nil"/>
            </w:tcBorders>
          </w:tcPr>
          <w:p w14:paraId="67D44663"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-0.065</w:t>
            </w:r>
          </w:p>
        </w:tc>
        <w:tc>
          <w:tcPr>
            <w:tcW w:w="1676" w:type="dxa"/>
            <w:tcBorders>
              <w:top w:val="nil"/>
              <w:left w:val="nil"/>
              <w:bottom w:val="nil"/>
              <w:right w:val="nil"/>
            </w:tcBorders>
          </w:tcPr>
          <w:p w14:paraId="559D2F1C"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-0.068</w:t>
            </w:r>
          </w:p>
        </w:tc>
      </w:tr>
      <w:tr w:rsidR="00706A69" w14:paraId="642774C8" w14:textId="77777777" w:rsidTr="00A72BD1">
        <w:trPr>
          <w:jc w:val="center"/>
        </w:trPr>
        <w:tc>
          <w:tcPr>
            <w:tcW w:w="3545" w:type="dxa"/>
            <w:tcBorders>
              <w:top w:val="nil"/>
              <w:left w:val="nil"/>
              <w:bottom w:val="nil"/>
              <w:right w:val="nil"/>
            </w:tcBorders>
          </w:tcPr>
          <w:p w14:paraId="516D965C"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742E1F76"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w:t>
            </w:r>
          </w:p>
        </w:tc>
        <w:tc>
          <w:tcPr>
            <w:tcW w:w="1584" w:type="dxa"/>
            <w:tcBorders>
              <w:top w:val="nil"/>
              <w:left w:val="nil"/>
              <w:bottom w:val="nil"/>
              <w:right w:val="nil"/>
            </w:tcBorders>
          </w:tcPr>
          <w:p w14:paraId="2879DC1E"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(-1.47)</w:t>
            </w:r>
          </w:p>
        </w:tc>
        <w:tc>
          <w:tcPr>
            <w:tcW w:w="1676" w:type="dxa"/>
            <w:tcBorders>
              <w:top w:val="nil"/>
              <w:left w:val="nil"/>
              <w:bottom w:val="nil"/>
              <w:right w:val="nil"/>
            </w:tcBorders>
          </w:tcPr>
          <w:p w14:paraId="65FE3440"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(-0.90)</w:t>
            </w:r>
          </w:p>
        </w:tc>
      </w:tr>
      <w:tr w:rsidR="00706A69" w14:paraId="45DD2CB9" w14:textId="77777777" w:rsidTr="00A72BD1">
        <w:trPr>
          <w:jc w:val="center"/>
        </w:trPr>
        <w:tc>
          <w:tcPr>
            <w:tcW w:w="3545" w:type="dxa"/>
            <w:tcBorders>
              <w:top w:val="nil"/>
              <w:left w:val="nil"/>
              <w:bottom w:val="nil"/>
              <w:right w:val="nil"/>
            </w:tcBorders>
          </w:tcPr>
          <w:p w14:paraId="58B80E52"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SWITCH*IFRS year + 1</w:t>
            </w:r>
          </w:p>
        </w:tc>
        <w:tc>
          <w:tcPr>
            <w:tcW w:w="2268" w:type="dxa"/>
            <w:tcBorders>
              <w:top w:val="nil"/>
              <w:left w:val="nil"/>
              <w:bottom w:val="nil"/>
              <w:right w:val="nil"/>
            </w:tcBorders>
          </w:tcPr>
          <w:p w14:paraId="280A4EAF"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0.055</w:t>
            </w:r>
          </w:p>
        </w:tc>
        <w:tc>
          <w:tcPr>
            <w:tcW w:w="1584" w:type="dxa"/>
            <w:tcBorders>
              <w:top w:val="nil"/>
              <w:left w:val="nil"/>
              <w:bottom w:val="nil"/>
              <w:right w:val="nil"/>
            </w:tcBorders>
          </w:tcPr>
          <w:p w14:paraId="2E7962D2"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-0.026</w:t>
            </w:r>
          </w:p>
        </w:tc>
        <w:tc>
          <w:tcPr>
            <w:tcW w:w="1676" w:type="dxa"/>
            <w:tcBorders>
              <w:top w:val="nil"/>
              <w:left w:val="nil"/>
              <w:bottom w:val="nil"/>
              <w:right w:val="nil"/>
            </w:tcBorders>
          </w:tcPr>
          <w:p w14:paraId="01D0E490"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-0.018</w:t>
            </w:r>
          </w:p>
        </w:tc>
      </w:tr>
      <w:tr w:rsidR="00706A69" w14:paraId="779125FC" w14:textId="77777777" w:rsidTr="00A72BD1">
        <w:trPr>
          <w:jc w:val="center"/>
        </w:trPr>
        <w:tc>
          <w:tcPr>
            <w:tcW w:w="3545" w:type="dxa"/>
            <w:tcBorders>
              <w:top w:val="nil"/>
              <w:left w:val="nil"/>
              <w:bottom w:val="nil"/>
              <w:right w:val="nil"/>
            </w:tcBorders>
          </w:tcPr>
          <w:p w14:paraId="510988D4"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75D312C4"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(0.52)</w:t>
            </w:r>
          </w:p>
        </w:tc>
        <w:tc>
          <w:tcPr>
            <w:tcW w:w="1584" w:type="dxa"/>
            <w:tcBorders>
              <w:top w:val="nil"/>
              <w:left w:val="nil"/>
              <w:bottom w:val="nil"/>
              <w:right w:val="nil"/>
            </w:tcBorders>
          </w:tcPr>
          <w:p w14:paraId="3D83DCAB"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(-0.61)</w:t>
            </w:r>
          </w:p>
        </w:tc>
        <w:tc>
          <w:tcPr>
            <w:tcW w:w="1676" w:type="dxa"/>
            <w:tcBorders>
              <w:top w:val="nil"/>
              <w:left w:val="nil"/>
              <w:bottom w:val="nil"/>
              <w:right w:val="nil"/>
            </w:tcBorders>
          </w:tcPr>
          <w:p w14:paraId="06B56284"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(-0.27)</w:t>
            </w:r>
          </w:p>
        </w:tc>
      </w:tr>
      <w:tr w:rsidR="00706A69" w14:paraId="1CC1A65F" w14:textId="77777777" w:rsidTr="00A72BD1">
        <w:trPr>
          <w:jc w:val="center"/>
        </w:trPr>
        <w:tc>
          <w:tcPr>
            <w:tcW w:w="3545" w:type="dxa"/>
            <w:tcBorders>
              <w:top w:val="nil"/>
              <w:left w:val="nil"/>
              <w:bottom w:val="nil"/>
              <w:right w:val="nil"/>
            </w:tcBorders>
          </w:tcPr>
          <w:p w14:paraId="166B320E"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SWITCH*IFRS year + 2</w:t>
            </w:r>
          </w:p>
        </w:tc>
        <w:tc>
          <w:tcPr>
            <w:tcW w:w="2268" w:type="dxa"/>
            <w:tcBorders>
              <w:top w:val="nil"/>
              <w:left w:val="nil"/>
              <w:bottom w:val="nil"/>
              <w:right w:val="nil"/>
            </w:tcBorders>
          </w:tcPr>
          <w:p w14:paraId="296C0027"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0.058</w:t>
            </w:r>
          </w:p>
        </w:tc>
        <w:tc>
          <w:tcPr>
            <w:tcW w:w="1584" w:type="dxa"/>
            <w:tcBorders>
              <w:top w:val="nil"/>
              <w:left w:val="nil"/>
              <w:bottom w:val="nil"/>
              <w:right w:val="nil"/>
            </w:tcBorders>
          </w:tcPr>
          <w:p w14:paraId="2F4EB36F"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-0.019</w:t>
            </w:r>
          </w:p>
        </w:tc>
        <w:tc>
          <w:tcPr>
            <w:tcW w:w="1676" w:type="dxa"/>
            <w:tcBorders>
              <w:top w:val="nil"/>
              <w:left w:val="nil"/>
              <w:bottom w:val="nil"/>
              <w:right w:val="nil"/>
            </w:tcBorders>
          </w:tcPr>
          <w:p w14:paraId="794665F0"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-0.031</w:t>
            </w:r>
          </w:p>
        </w:tc>
      </w:tr>
      <w:tr w:rsidR="00706A69" w14:paraId="697D3B1B" w14:textId="77777777" w:rsidTr="00A72BD1">
        <w:trPr>
          <w:jc w:val="center"/>
        </w:trPr>
        <w:tc>
          <w:tcPr>
            <w:tcW w:w="3545" w:type="dxa"/>
            <w:tcBorders>
              <w:top w:val="nil"/>
              <w:left w:val="nil"/>
              <w:bottom w:val="nil"/>
              <w:right w:val="nil"/>
            </w:tcBorders>
          </w:tcPr>
          <w:p w14:paraId="4C18397E"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58626C57"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(0.60)</w:t>
            </w:r>
          </w:p>
        </w:tc>
        <w:tc>
          <w:tcPr>
            <w:tcW w:w="1584" w:type="dxa"/>
            <w:tcBorders>
              <w:top w:val="nil"/>
              <w:left w:val="nil"/>
              <w:bottom w:val="nil"/>
              <w:right w:val="nil"/>
            </w:tcBorders>
          </w:tcPr>
          <w:p w14:paraId="52E33014"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(-0.45)</w:t>
            </w:r>
          </w:p>
        </w:tc>
        <w:tc>
          <w:tcPr>
            <w:tcW w:w="1676" w:type="dxa"/>
            <w:tcBorders>
              <w:top w:val="nil"/>
              <w:left w:val="nil"/>
              <w:bottom w:val="nil"/>
              <w:right w:val="nil"/>
            </w:tcBorders>
          </w:tcPr>
          <w:p w14:paraId="70B84D5F"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(-0.43)</w:t>
            </w:r>
          </w:p>
        </w:tc>
      </w:tr>
      <w:tr w:rsidR="00706A69" w14:paraId="567EBC0E" w14:textId="77777777" w:rsidTr="00A72BD1">
        <w:trPr>
          <w:jc w:val="center"/>
        </w:trPr>
        <w:tc>
          <w:tcPr>
            <w:tcW w:w="3545" w:type="dxa"/>
            <w:tcBorders>
              <w:top w:val="nil"/>
              <w:left w:val="nil"/>
              <w:bottom w:val="nil"/>
              <w:right w:val="nil"/>
            </w:tcBorders>
          </w:tcPr>
          <w:p w14:paraId="045175EB"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SWITCH*IFRS year + 3</w:t>
            </w:r>
          </w:p>
        </w:tc>
        <w:tc>
          <w:tcPr>
            <w:tcW w:w="2268" w:type="dxa"/>
            <w:tcBorders>
              <w:top w:val="nil"/>
              <w:left w:val="nil"/>
              <w:bottom w:val="nil"/>
              <w:right w:val="nil"/>
            </w:tcBorders>
          </w:tcPr>
          <w:p w14:paraId="44257C8E"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0.047</w:t>
            </w:r>
          </w:p>
        </w:tc>
        <w:tc>
          <w:tcPr>
            <w:tcW w:w="1584" w:type="dxa"/>
            <w:tcBorders>
              <w:top w:val="nil"/>
              <w:left w:val="nil"/>
              <w:bottom w:val="nil"/>
              <w:right w:val="nil"/>
            </w:tcBorders>
          </w:tcPr>
          <w:p w14:paraId="6D2838A9"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-0.008</w:t>
            </w:r>
          </w:p>
        </w:tc>
        <w:tc>
          <w:tcPr>
            <w:tcW w:w="1676" w:type="dxa"/>
            <w:tcBorders>
              <w:top w:val="nil"/>
              <w:left w:val="nil"/>
              <w:bottom w:val="nil"/>
              <w:right w:val="nil"/>
            </w:tcBorders>
          </w:tcPr>
          <w:p w14:paraId="3B12ACDF"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-0.003</w:t>
            </w:r>
          </w:p>
        </w:tc>
      </w:tr>
      <w:tr w:rsidR="00706A69" w14:paraId="5AEFDCD0" w14:textId="77777777" w:rsidTr="00A72BD1">
        <w:trPr>
          <w:jc w:val="center"/>
        </w:trPr>
        <w:tc>
          <w:tcPr>
            <w:tcW w:w="3545" w:type="dxa"/>
            <w:tcBorders>
              <w:top w:val="nil"/>
              <w:left w:val="nil"/>
              <w:bottom w:val="nil"/>
              <w:right w:val="nil"/>
            </w:tcBorders>
          </w:tcPr>
          <w:p w14:paraId="57014525"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66C67109"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(0.49)</w:t>
            </w:r>
          </w:p>
        </w:tc>
        <w:tc>
          <w:tcPr>
            <w:tcW w:w="1584" w:type="dxa"/>
            <w:tcBorders>
              <w:top w:val="nil"/>
              <w:left w:val="nil"/>
              <w:bottom w:val="nil"/>
              <w:right w:val="nil"/>
            </w:tcBorders>
          </w:tcPr>
          <w:p w14:paraId="65EB42E1"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(-0.22)</w:t>
            </w:r>
          </w:p>
        </w:tc>
        <w:tc>
          <w:tcPr>
            <w:tcW w:w="1676" w:type="dxa"/>
            <w:tcBorders>
              <w:top w:val="nil"/>
              <w:left w:val="nil"/>
              <w:bottom w:val="nil"/>
              <w:right w:val="nil"/>
            </w:tcBorders>
          </w:tcPr>
          <w:p w14:paraId="0D719F10"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(-0.04)</w:t>
            </w:r>
          </w:p>
        </w:tc>
      </w:tr>
      <w:tr w:rsidR="00706A69" w14:paraId="324911DC" w14:textId="77777777" w:rsidTr="00A72BD1">
        <w:trPr>
          <w:jc w:val="center"/>
        </w:trPr>
        <w:tc>
          <w:tcPr>
            <w:tcW w:w="3545" w:type="dxa"/>
            <w:tcBorders>
              <w:top w:val="nil"/>
              <w:left w:val="nil"/>
              <w:bottom w:val="nil"/>
              <w:right w:val="nil"/>
            </w:tcBorders>
          </w:tcPr>
          <w:p w14:paraId="3EF6F3A6"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MVE</w:t>
            </w:r>
          </w:p>
        </w:tc>
        <w:tc>
          <w:tcPr>
            <w:tcW w:w="2268" w:type="dxa"/>
            <w:tcBorders>
              <w:top w:val="nil"/>
              <w:left w:val="nil"/>
              <w:bottom w:val="nil"/>
              <w:right w:val="nil"/>
            </w:tcBorders>
          </w:tcPr>
          <w:p w14:paraId="22EE0A36"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0.061</w:t>
            </w:r>
          </w:p>
        </w:tc>
        <w:tc>
          <w:tcPr>
            <w:tcW w:w="1584" w:type="dxa"/>
            <w:tcBorders>
              <w:top w:val="nil"/>
              <w:left w:val="nil"/>
              <w:bottom w:val="nil"/>
              <w:right w:val="nil"/>
            </w:tcBorders>
          </w:tcPr>
          <w:p w14:paraId="210A8A78"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0.022</w:t>
            </w:r>
          </w:p>
        </w:tc>
        <w:tc>
          <w:tcPr>
            <w:tcW w:w="1676" w:type="dxa"/>
            <w:tcBorders>
              <w:top w:val="nil"/>
              <w:left w:val="nil"/>
              <w:bottom w:val="nil"/>
              <w:right w:val="nil"/>
            </w:tcBorders>
          </w:tcPr>
          <w:p w14:paraId="2C6ED0B2"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0.070**</w:t>
            </w:r>
          </w:p>
        </w:tc>
      </w:tr>
      <w:tr w:rsidR="00706A69" w14:paraId="1B76523C" w14:textId="77777777" w:rsidTr="00A72BD1">
        <w:trPr>
          <w:jc w:val="center"/>
        </w:trPr>
        <w:tc>
          <w:tcPr>
            <w:tcW w:w="3545" w:type="dxa"/>
            <w:tcBorders>
              <w:top w:val="nil"/>
              <w:left w:val="nil"/>
              <w:bottom w:val="nil"/>
              <w:right w:val="nil"/>
            </w:tcBorders>
          </w:tcPr>
          <w:p w14:paraId="383EEC8E"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6105CFF0"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(1.31)</w:t>
            </w:r>
          </w:p>
        </w:tc>
        <w:tc>
          <w:tcPr>
            <w:tcW w:w="1584" w:type="dxa"/>
            <w:tcBorders>
              <w:top w:val="nil"/>
              <w:left w:val="nil"/>
              <w:bottom w:val="nil"/>
              <w:right w:val="nil"/>
            </w:tcBorders>
          </w:tcPr>
          <w:p w14:paraId="3707078D"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(1.54)</w:t>
            </w:r>
          </w:p>
        </w:tc>
        <w:tc>
          <w:tcPr>
            <w:tcW w:w="1676" w:type="dxa"/>
            <w:tcBorders>
              <w:top w:val="nil"/>
              <w:left w:val="nil"/>
              <w:bottom w:val="nil"/>
              <w:right w:val="nil"/>
            </w:tcBorders>
          </w:tcPr>
          <w:p w14:paraId="23B96C23"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(2.49)</w:t>
            </w:r>
          </w:p>
        </w:tc>
      </w:tr>
      <w:tr w:rsidR="00706A69" w14:paraId="72226A5D" w14:textId="77777777" w:rsidTr="00A72BD1">
        <w:trPr>
          <w:jc w:val="center"/>
        </w:trPr>
        <w:tc>
          <w:tcPr>
            <w:tcW w:w="3545" w:type="dxa"/>
            <w:tcBorders>
              <w:top w:val="nil"/>
              <w:left w:val="nil"/>
              <w:bottom w:val="nil"/>
              <w:right w:val="nil"/>
            </w:tcBorders>
          </w:tcPr>
          <w:p w14:paraId="253D8145" w14:textId="0B6CA248"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TOBIN</w:t>
            </w:r>
            <w:r w:rsidR="004E3FB1">
              <w:rPr>
                <w:rFonts w:ascii="Times New Roman" w:hAnsi="Times New Roman" w:cs="Times New Roman"/>
                <w:sz w:val="24"/>
                <w:szCs w:val="24"/>
              </w:rPr>
              <w:t>’s</w:t>
            </w:r>
            <w:r>
              <w:rPr>
                <w:rFonts w:ascii="Times New Roman" w:hAnsi="Times New Roman" w:cs="Times New Roman"/>
                <w:sz w:val="24"/>
                <w:szCs w:val="24"/>
              </w:rPr>
              <w:t xml:space="preserve"> Q</w:t>
            </w:r>
          </w:p>
        </w:tc>
        <w:tc>
          <w:tcPr>
            <w:tcW w:w="2268" w:type="dxa"/>
            <w:tcBorders>
              <w:top w:val="nil"/>
              <w:left w:val="nil"/>
              <w:bottom w:val="nil"/>
              <w:right w:val="nil"/>
            </w:tcBorders>
          </w:tcPr>
          <w:p w14:paraId="4394F3C1"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w:t>
            </w:r>
          </w:p>
        </w:tc>
        <w:tc>
          <w:tcPr>
            <w:tcW w:w="1584" w:type="dxa"/>
            <w:tcBorders>
              <w:top w:val="nil"/>
              <w:left w:val="nil"/>
              <w:bottom w:val="nil"/>
              <w:right w:val="nil"/>
            </w:tcBorders>
          </w:tcPr>
          <w:p w14:paraId="44581C16"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w:t>
            </w:r>
          </w:p>
        </w:tc>
        <w:tc>
          <w:tcPr>
            <w:tcW w:w="1676" w:type="dxa"/>
            <w:tcBorders>
              <w:top w:val="nil"/>
              <w:left w:val="nil"/>
              <w:bottom w:val="nil"/>
              <w:right w:val="nil"/>
            </w:tcBorders>
          </w:tcPr>
          <w:p w14:paraId="033A6431"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w:t>
            </w:r>
          </w:p>
        </w:tc>
      </w:tr>
      <w:tr w:rsidR="00706A69" w14:paraId="61577A57" w14:textId="77777777" w:rsidTr="00A72BD1">
        <w:trPr>
          <w:jc w:val="center"/>
        </w:trPr>
        <w:tc>
          <w:tcPr>
            <w:tcW w:w="3545" w:type="dxa"/>
            <w:tcBorders>
              <w:top w:val="nil"/>
              <w:left w:val="nil"/>
              <w:bottom w:val="nil"/>
              <w:right w:val="nil"/>
            </w:tcBorders>
          </w:tcPr>
          <w:p w14:paraId="2D576554"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0CD71585"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(-0.17)</w:t>
            </w:r>
          </w:p>
        </w:tc>
        <w:tc>
          <w:tcPr>
            <w:tcW w:w="1584" w:type="dxa"/>
            <w:tcBorders>
              <w:top w:val="nil"/>
              <w:left w:val="nil"/>
              <w:bottom w:val="nil"/>
              <w:right w:val="nil"/>
            </w:tcBorders>
          </w:tcPr>
          <w:p w14:paraId="3261462A"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(-0.25)</w:t>
            </w:r>
          </w:p>
        </w:tc>
        <w:tc>
          <w:tcPr>
            <w:tcW w:w="1676" w:type="dxa"/>
            <w:tcBorders>
              <w:top w:val="nil"/>
              <w:left w:val="nil"/>
              <w:bottom w:val="nil"/>
              <w:right w:val="nil"/>
            </w:tcBorders>
          </w:tcPr>
          <w:p w14:paraId="58CD9199"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(-0.46)</w:t>
            </w:r>
          </w:p>
        </w:tc>
      </w:tr>
      <w:tr w:rsidR="00706A69" w14:paraId="19C8B29A" w14:textId="77777777" w:rsidTr="00A72BD1">
        <w:trPr>
          <w:jc w:val="center"/>
        </w:trPr>
        <w:tc>
          <w:tcPr>
            <w:tcW w:w="3545" w:type="dxa"/>
            <w:tcBorders>
              <w:top w:val="nil"/>
              <w:left w:val="nil"/>
              <w:bottom w:val="nil"/>
              <w:right w:val="nil"/>
            </w:tcBorders>
          </w:tcPr>
          <w:p w14:paraId="73FD3AB0"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GROWTH</w:t>
            </w:r>
          </w:p>
        </w:tc>
        <w:tc>
          <w:tcPr>
            <w:tcW w:w="2268" w:type="dxa"/>
            <w:tcBorders>
              <w:top w:val="nil"/>
              <w:left w:val="nil"/>
              <w:bottom w:val="nil"/>
              <w:right w:val="nil"/>
            </w:tcBorders>
          </w:tcPr>
          <w:p w14:paraId="54C15F08"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0.313***</w:t>
            </w:r>
          </w:p>
        </w:tc>
        <w:tc>
          <w:tcPr>
            <w:tcW w:w="1584" w:type="dxa"/>
            <w:tcBorders>
              <w:top w:val="nil"/>
              <w:left w:val="nil"/>
              <w:bottom w:val="nil"/>
              <w:right w:val="nil"/>
            </w:tcBorders>
          </w:tcPr>
          <w:p w14:paraId="1967A1BB"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0.138*</w:t>
            </w:r>
          </w:p>
        </w:tc>
        <w:tc>
          <w:tcPr>
            <w:tcW w:w="1676" w:type="dxa"/>
            <w:tcBorders>
              <w:top w:val="nil"/>
              <w:left w:val="nil"/>
              <w:bottom w:val="nil"/>
              <w:right w:val="nil"/>
            </w:tcBorders>
          </w:tcPr>
          <w:p w14:paraId="37B44505"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0.035</w:t>
            </w:r>
          </w:p>
        </w:tc>
      </w:tr>
      <w:tr w:rsidR="00706A69" w14:paraId="3A02C65D" w14:textId="77777777" w:rsidTr="00A72BD1">
        <w:trPr>
          <w:jc w:val="center"/>
        </w:trPr>
        <w:tc>
          <w:tcPr>
            <w:tcW w:w="3545" w:type="dxa"/>
            <w:tcBorders>
              <w:top w:val="nil"/>
              <w:left w:val="nil"/>
              <w:bottom w:val="nil"/>
              <w:right w:val="nil"/>
            </w:tcBorders>
          </w:tcPr>
          <w:p w14:paraId="437872FF"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7EE06B30"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(3.10)</w:t>
            </w:r>
          </w:p>
        </w:tc>
        <w:tc>
          <w:tcPr>
            <w:tcW w:w="1584" w:type="dxa"/>
            <w:tcBorders>
              <w:top w:val="nil"/>
              <w:left w:val="nil"/>
              <w:bottom w:val="nil"/>
              <w:right w:val="nil"/>
            </w:tcBorders>
          </w:tcPr>
          <w:p w14:paraId="027D0661"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(1.92)</w:t>
            </w:r>
          </w:p>
        </w:tc>
        <w:tc>
          <w:tcPr>
            <w:tcW w:w="1676" w:type="dxa"/>
            <w:tcBorders>
              <w:top w:val="nil"/>
              <w:left w:val="nil"/>
              <w:bottom w:val="nil"/>
              <w:right w:val="nil"/>
            </w:tcBorders>
          </w:tcPr>
          <w:p w14:paraId="116A671F"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(0.40)</w:t>
            </w:r>
          </w:p>
        </w:tc>
      </w:tr>
      <w:tr w:rsidR="00706A69" w14:paraId="79FD62FB" w14:textId="77777777" w:rsidTr="00A72BD1">
        <w:trPr>
          <w:jc w:val="center"/>
        </w:trPr>
        <w:tc>
          <w:tcPr>
            <w:tcW w:w="3545" w:type="dxa"/>
            <w:tcBorders>
              <w:top w:val="nil"/>
              <w:left w:val="nil"/>
              <w:bottom w:val="nil"/>
              <w:right w:val="nil"/>
            </w:tcBorders>
          </w:tcPr>
          <w:p w14:paraId="1780ADD0"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LEVERAGE</w:t>
            </w:r>
          </w:p>
        </w:tc>
        <w:tc>
          <w:tcPr>
            <w:tcW w:w="2268" w:type="dxa"/>
            <w:tcBorders>
              <w:top w:val="nil"/>
              <w:left w:val="nil"/>
              <w:bottom w:val="nil"/>
              <w:right w:val="nil"/>
            </w:tcBorders>
          </w:tcPr>
          <w:p w14:paraId="3E98B7BD"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-2.417***</w:t>
            </w:r>
          </w:p>
        </w:tc>
        <w:tc>
          <w:tcPr>
            <w:tcW w:w="1584" w:type="dxa"/>
            <w:tcBorders>
              <w:top w:val="nil"/>
              <w:left w:val="nil"/>
              <w:bottom w:val="nil"/>
              <w:right w:val="nil"/>
            </w:tcBorders>
          </w:tcPr>
          <w:p w14:paraId="03CDA9D3"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-1.609***</w:t>
            </w:r>
          </w:p>
        </w:tc>
        <w:tc>
          <w:tcPr>
            <w:tcW w:w="1676" w:type="dxa"/>
            <w:tcBorders>
              <w:top w:val="nil"/>
              <w:left w:val="nil"/>
              <w:bottom w:val="nil"/>
              <w:right w:val="nil"/>
            </w:tcBorders>
          </w:tcPr>
          <w:p w14:paraId="03F8C72B"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-3.192***</w:t>
            </w:r>
          </w:p>
        </w:tc>
      </w:tr>
      <w:tr w:rsidR="00706A69" w14:paraId="7AB76B77" w14:textId="77777777" w:rsidTr="00A72BD1">
        <w:trPr>
          <w:jc w:val="center"/>
        </w:trPr>
        <w:tc>
          <w:tcPr>
            <w:tcW w:w="3545" w:type="dxa"/>
            <w:tcBorders>
              <w:top w:val="nil"/>
              <w:left w:val="nil"/>
              <w:bottom w:val="nil"/>
              <w:right w:val="nil"/>
            </w:tcBorders>
          </w:tcPr>
          <w:p w14:paraId="08CB3764"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7718A2B5"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(-3.36)</w:t>
            </w:r>
          </w:p>
        </w:tc>
        <w:tc>
          <w:tcPr>
            <w:tcW w:w="1584" w:type="dxa"/>
            <w:tcBorders>
              <w:top w:val="nil"/>
              <w:left w:val="nil"/>
              <w:bottom w:val="nil"/>
              <w:right w:val="nil"/>
            </w:tcBorders>
          </w:tcPr>
          <w:p w14:paraId="0727007B"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(-3.38)</w:t>
            </w:r>
          </w:p>
        </w:tc>
        <w:tc>
          <w:tcPr>
            <w:tcW w:w="1676" w:type="dxa"/>
            <w:tcBorders>
              <w:top w:val="nil"/>
              <w:left w:val="nil"/>
              <w:bottom w:val="nil"/>
              <w:right w:val="nil"/>
            </w:tcBorders>
          </w:tcPr>
          <w:p w14:paraId="7E4A1292"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(-3.49)</w:t>
            </w:r>
          </w:p>
        </w:tc>
      </w:tr>
      <w:tr w:rsidR="00706A69" w14:paraId="37D08D10" w14:textId="77777777" w:rsidTr="00A72BD1">
        <w:trPr>
          <w:jc w:val="center"/>
        </w:trPr>
        <w:tc>
          <w:tcPr>
            <w:tcW w:w="3545" w:type="dxa"/>
            <w:tcBorders>
              <w:top w:val="nil"/>
              <w:left w:val="nil"/>
              <w:bottom w:val="nil"/>
              <w:right w:val="nil"/>
            </w:tcBorders>
          </w:tcPr>
          <w:p w14:paraId="69A29AF4"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CFO</w:t>
            </w:r>
          </w:p>
        </w:tc>
        <w:tc>
          <w:tcPr>
            <w:tcW w:w="2268" w:type="dxa"/>
            <w:tcBorders>
              <w:top w:val="nil"/>
              <w:left w:val="nil"/>
              <w:bottom w:val="nil"/>
              <w:right w:val="nil"/>
            </w:tcBorders>
          </w:tcPr>
          <w:p w14:paraId="1E1F840B"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-0.115</w:t>
            </w:r>
          </w:p>
        </w:tc>
        <w:tc>
          <w:tcPr>
            <w:tcW w:w="1584" w:type="dxa"/>
            <w:tcBorders>
              <w:top w:val="nil"/>
              <w:left w:val="nil"/>
              <w:bottom w:val="nil"/>
              <w:right w:val="nil"/>
            </w:tcBorders>
          </w:tcPr>
          <w:p w14:paraId="3A196812"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0.481</w:t>
            </w:r>
          </w:p>
        </w:tc>
        <w:tc>
          <w:tcPr>
            <w:tcW w:w="1676" w:type="dxa"/>
            <w:tcBorders>
              <w:top w:val="nil"/>
              <w:left w:val="nil"/>
              <w:bottom w:val="nil"/>
              <w:right w:val="nil"/>
            </w:tcBorders>
          </w:tcPr>
          <w:p w14:paraId="7BBA5EB7"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-0.022</w:t>
            </w:r>
          </w:p>
        </w:tc>
      </w:tr>
      <w:tr w:rsidR="00706A69" w14:paraId="2128AB0A" w14:textId="77777777" w:rsidTr="00A72BD1">
        <w:trPr>
          <w:jc w:val="center"/>
        </w:trPr>
        <w:tc>
          <w:tcPr>
            <w:tcW w:w="3545" w:type="dxa"/>
            <w:tcBorders>
              <w:top w:val="nil"/>
              <w:left w:val="nil"/>
              <w:bottom w:val="nil"/>
              <w:right w:val="nil"/>
            </w:tcBorders>
          </w:tcPr>
          <w:p w14:paraId="56C07EF2"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31D2E57A"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(-0.15)</w:t>
            </w:r>
          </w:p>
        </w:tc>
        <w:tc>
          <w:tcPr>
            <w:tcW w:w="1584" w:type="dxa"/>
            <w:tcBorders>
              <w:top w:val="nil"/>
              <w:left w:val="nil"/>
              <w:bottom w:val="nil"/>
              <w:right w:val="nil"/>
            </w:tcBorders>
          </w:tcPr>
          <w:p w14:paraId="02BA51D1"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(1.18)</w:t>
            </w:r>
          </w:p>
        </w:tc>
        <w:tc>
          <w:tcPr>
            <w:tcW w:w="1676" w:type="dxa"/>
            <w:tcBorders>
              <w:top w:val="nil"/>
              <w:left w:val="nil"/>
              <w:bottom w:val="nil"/>
              <w:right w:val="nil"/>
            </w:tcBorders>
          </w:tcPr>
          <w:p w14:paraId="40E15FE5"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w:t>
            </w:r>
          </w:p>
        </w:tc>
      </w:tr>
      <w:tr w:rsidR="00706A69" w14:paraId="642AC46F" w14:textId="77777777" w:rsidTr="00A72BD1">
        <w:trPr>
          <w:jc w:val="center"/>
        </w:trPr>
        <w:tc>
          <w:tcPr>
            <w:tcW w:w="3545" w:type="dxa"/>
            <w:tcBorders>
              <w:top w:val="nil"/>
              <w:left w:val="nil"/>
              <w:bottom w:val="nil"/>
              <w:right w:val="nil"/>
            </w:tcBorders>
          </w:tcPr>
          <w:p w14:paraId="303656C1"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CASHEQ</w:t>
            </w:r>
          </w:p>
        </w:tc>
        <w:tc>
          <w:tcPr>
            <w:tcW w:w="2268" w:type="dxa"/>
            <w:tcBorders>
              <w:top w:val="nil"/>
              <w:left w:val="nil"/>
              <w:bottom w:val="nil"/>
              <w:right w:val="nil"/>
            </w:tcBorders>
          </w:tcPr>
          <w:p w14:paraId="2FAB05D4"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-0.914*</w:t>
            </w:r>
          </w:p>
        </w:tc>
        <w:tc>
          <w:tcPr>
            <w:tcW w:w="1584" w:type="dxa"/>
            <w:tcBorders>
              <w:top w:val="nil"/>
              <w:left w:val="nil"/>
              <w:bottom w:val="nil"/>
              <w:right w:val="nil"/>
            </w:tcBorders>
          </w:tcPr>
          <w:p w14:paraId="4F0B5614"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-0.407</w:t>
            </w:r>
          </w:p>
        </w:tc>
        <w:tc>
          <w:tcPr>
            <w:tcW w:w="1676" w:type="dxa"/>
            <w:tcBorders>
              <w:top w:val="nil"/>
              <w:left w:val="nil"/>
              <w:bottom w:val="nil"/>
              <w:right w:val="nil"/>
            </w:tcBorders>
          </w:tcPr>
          <w:p w14:paraId="00F222B9"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-0.703</w:t>
            </w:r>
          </w:p>
        </w:tc>
      </w:tr>
      <w:tr w:rsidR="00706A69" w14:paraId="797080D8" w14:textId="77777777" w:rsidTr="00A72BD1">
        <w:trPr>
          <w:jc w:val="center"/>
        </w:trPr>
        <w:tc>
          <w:tcPr>
            <w:tcW w:w="3545" w:type="dxa"/>
            <w:tcBorders>
              <w:top w:val="nil"/>
              <w:left w:val="nil"/>
              <w:bottom w:val="nil"/>
              <w:right w:val="nil"/>
            </w:tcBorders>
          </w:tcPr>
          <w:p w14:paraId="57BEBD20"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4B6A6205"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(-1.75)</w:t>
            </w:r>
          </w:p>
        </w:tc>
        <w:tc>
          <w:tcPr>
            <w:tcW w:w="1584" w:type="dxa"/>
            <w:tcBorders>
              <w:top w:val="nil"/>
              <w:left w:val="nil"/>
              <w:bottom w:val="nil"/>
              <w:right w:val="nil"/>
            </w:tcBorders>
          </w:tcPr>
          <w:p w14:paraId="4B3F3B26"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(-1.48)</w:t>
            </w:r>
          </w:p>
        </w:tc>
        <w:tc>
          <w:tcPr>
            <w:tcW w:w="1676" w:type="dxa"/>
            <w:tcBorders>
              <w:top w:val="nil"/>
              <w:left w:val="nil"/>
              <w:bottom w:val="nil"/>
              <w:right w:val="nil"/>
            </w:tcBorders>
          </w:tcPr>
          <w:p w14:paraId="53CCF8C5"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(-1.17)</w:t>
            </w:r>
          </w:p>
        </w:tc>
      </w:tr>
      <w:tr w:rsidR="00706A69" w14:paraId="0376388B" w14:textId="77777777" w:rsidTr="00A72BD1">
        <w:trPr>
          <w:jc w:val="center"/>
        </w:trPr>
        <w:tc>
          <w:tcPr>
            <w:tcW w:w="3545" w:type="dxa"/>
            <w:tcBorders>
              <w:top w:val="nil"/>
              <w:left w:val="nil"/>
              <w:bottom w:val="nil"/>
              <w:right w:val="nil"/>
            </w:tcBorders>
          </w:tcPr>
          <w:p w14:paraId="6C0BD228"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1C8A33C2"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p>
        </w:tc>
        <w:tc>
          <w:tcPr>
            <w:tcW w:w="1584" w:type="dxa"/>
            <w:tcBorders>
              <w:top w:val="nil"/>
              <w:left w:val="nil"/>
              <w:bottom w:val="nil"/>
              <w:right w:val="nil"/>
            </w:tcBorders>
          </w:tcPr>
          <w:p w14:paraId="7CF04A40"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p>
        </w:tc>
        <w:tc>
          <w:tcPr>
            <w:tcW w:w="1676" w:type="dxa"/>
            <w:tcBorders>
              <w:top w:val="nil"/>
              <w:left w:val="nil"/>
              <w:bottom w:val="nil"/>
              <w:right w:val="nil"/>
            </w:tcBorders>
          </w:tcPr>
          <w:p w14:paraId="295D82F8"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p>
        </w:tc>
      </w:tr>
      <w:tr w:rsidR="00706A69" w14:paraId="51FDFE00" w14:textId="77777777" w:rsidTr="00A72BD1">
        <w:trPr>
          <w:jc w:val="center"/>
        </w:trPr>
        <w:tc>
          <w:tcPr>
            <w:tcW w:w="3545" w:type="dxa"/>
            <w:tcBorders>
              <w:top w:val="nil"/>
              <w:left w:val="nil"/>
              <w:bottom w:val="nil"/>
              <w:right w:val="nil"/>
            </w:tcBorders>
          </w:tcPr>
          <w:p w14:paraId="6963D4CE"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Observations</w:t>
            </w:r>
          </w:p>
        </w:tc>
        <w:tc>
          <w:tcPr>
            <w:tcW w:w="2268" w:type="dxa"/>
            <w:tcBorders>
              <w:top w:val="nil"/>
              <w:left w:val="nil"/>
              <w:bottom w:val="nil"/>
              <w:right w:val="nil"/>
            </w:tcBorders>
          </w:tcPr>
          <w:p w14:paraId="35E7D866" w14:textId="77777777" w:rsidR="00706A69" w:rsidRPr="000D22DC"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416</w:t>
            </w:r>
          </w:p>
        </w:tc>
        <w:tc>
          <w:tcPr>
            <w:tcW w:w="1584" w:type="dxa"/>
            <w:tcBorders>
              <w:top w:val="nil"/>
              <w:left w:val="nil"/>
              <w:bottom w:val="nil"/>
              <w:right w:val="nil"/>
            </w:tcBorders>
          </w:tcPr>
          <w:p w14:paraId="1A659AAC" w14:textId="77777777" w:rsidR="00706A69" w:rsidRPr="00400801"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416</w:t>
            </w:r>
          </w:p>
        </w:tc>
        <w:tc>
          <w:tcPr>
            <w:tcW w:w="1676" w:type="dxa"/>
            <w:tcBorders>
              <w:top w:val="nil"/>
              <w:left w:val="nil"/>
              <w:bottom w:val="nil"/>
              <w:right w:val="nil"/>
            </w:tcBorders>
          </w:tcPr>
          <w:p w14:paraId="46EB7540" w14:textId="77777777" w:rsidR="00706A69" w:rsidRPr="000D22DC"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416</w:t>
            </w:r>
          </w:p>
        </w:tc>
      </w:tr>
      <w:tr w:rsidR="00706A69" w14:paraId="1D638693" w14:textId="77777777" w:rsidTr="00A72BD1">
        <w:trPr>
          <w:jc w:val="center"/>
        </w:trPr>
        <w:tc>
          <w:tcPr>
            <w:tcW w:w="3545" w:type="dxa"/>
            <w:tcBorders>
              <w:top w:val="nil"/>
              <w:left w:val="nil"/>
              <w:bottom w:val="nil"/>
              <w:right w:val="nil"/>
            </w:tcBorders>
            <w:vAlign w:val="center"/>
          </w:tcPr>
          <w:p w14:paraId="18063978"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olor w:val="000000"/>
                <w:sz w:val="24"/>
                <w:szCs w:val="24"/>
              </w:rPr>
              <w:t>Firm FE</w:t>
            </w:r>
          </w:p>
        </w:tc>
        <w:tc>
          <w:tcPr>
            <w:tcW w:w="2268" w:type="dxa"/>
            <w:tcBorders>
              <w:top w:val="nil"/>
              <w:left w:val="nil"/>
              <w:bottom w:val="nil"/>
              <w:right w:val="nil"/>
            </w:tcBorders>
          </w:tcPr>
          <w:p w14:paraId="41D7608C"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Included</w:t>
            </w:r>
          </w:p>
        </w:tc>
        <w:tc>
          <w:tcPr>
            <w:tcW w:w="1584" w:type="dxa"/>
            <w:tcBorders>
              <w:top w:val="nil"/>
              <w:left w:val="nil"/>
              <w:bottom w:val="nil"/>
              <w:right w:val="nil"/>
            </w:tcBorders>
          </w:tcPr>
          <w:p w14:paraId="7E9FBE49" w14:textId="49ACF791"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Inc</w:t>
            </w:r>
            <w:r w:rsidR="00DE384E">
              <w:rPr>
                <w:rFonts w:ascii="Times New Roman" w:hAnsi="Times New Roman" w:cs="Times New Roman"/>
                <w:sz w:val="24"/>
                <w:szCs w:val="24"/>
              </w:rPr>
              <w:t>l</w:t>
            </w:r>
            <w:r>
              <w:rPr>
                <w:rFonts w:ascii="Times New Roman" w:hAnsi="Times New Roman" w:cs="Times New Roman"/>
                <w:sz w:val="24"/>
                <w:szCs w:val="24"/>
              </w:rPr>
              <w:t>uded</w:t>
            </w:r>
          </w:p>
        </w:tc>
        <w:tc>
          <w:tcPr>
            <w:tcW w:w="1676" w:type="dxa"/>
            <w:tcBorders>
              <w:top w:val="nil"/>
              <w:left w:val="nil"/>
              <w:bottom w:val="nil"/>
              <w:right w:val="nil"/>
            </w:tcBorders>
          </w:tcPr>
          <w:p w14:paraId="5153F825"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Included</w:t>
            </w:r>
          </w:p>
        </w:tc>
      </w:tr>
      <w:tr w:rsidR="00706A69" w14:paraId="22F03910" w14:textId="77777777" w:rsidTr="00A72BD1">
        <w:trPr>
          <w:jc w:val="center"/>
        </w:trPr>
        <w:tc>
          <w:tcPr>
            <w:tcW w:w="3545" w:type="dxa"/>
            <w:tcBorders>
              <w:top w:val="nil"/>
              <w:left w:val="nil"/>
              <w:bottom w:val="nil"/>
              <w:right w:val="nil"/>
            </w:tcBorders>
            <w:vAlign w:val="center"/>
          </w:tcPr>
          <w:p w14:paraId="0E2E74CC"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olor w:val="000000"/>
                <w:sz w:val="24"/>
                <w:szCs w:val="24"/>
              </w:rPr>
              <w:t>Year FE</w:t>
            </w:r>
          </w:p>
        </w:tc>
        <w:tc>
          <w:tcPr>
            <w:tcW w:w="2268" w:type="dxa"/>
            <w:tcBorders>
              <w:top w:val="nil"/>
              <w:left w:val="nil"/>
              <w:bottom w:val="nil"/>
              <w:right w:val="nil"/>
            </w:tcBorders>
          </w:tcPr>
          <w:p w14:paraId="27435CD9"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Included</w:t>
            </w:r>
          </w:p>
        </w:tc>
        <w:tc>
          <w:tcPr>
            <w:tcW w:w="1584" w:type="dxa"/>
            <w:tcBorders>
              <w:top w:val="nil"/>
              <w:left w:val="nil"/>
              <w:bottom w:val="nil"/>
              <w:right w:val="nil"/>
            </w:tcBorders>
          </w:tcPr>
          <w:p w14:paraId="5E4DC726"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Included</w:t>
            </w:r>
          </w:p>
        </w:tc>
        <w:tc>
          <w:tcPr>
            <w:tcW w:w="1676" w:type="dxa"/>
            <w:tcBorders>
              <w:top w:val="nil"/>
              <w:left w:val="nil"/>
              <w:bottom w:val="nil"/>
              <w:right w:val="nil"/>
            </w:tcBorders>
          </w:tcPr>
          <w:p w14:paraId="68DDE03B"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Included</w:t>
            </w:r>
          </w:p>
        </w:tc>
      </w:tr>
      <w:tr w:rsidR="00706A69" w14:paraId="31FF0213" w14:textId="77777777" w:rsidTr="00A72BD1">
        <w:tblPrEx>
          <w:tblBorders>
            <w:bottom w:val="single" w:sz="6" w:space="0" w:color="auto"/>
          </w:tblBorders>
        </w:tblPrEx>
        <w:trPr>
          <w:jc w:val="center"/>
        </w:trPr>
        <w:tc>
          <w:tcPr>
            <w:tcW w:w="3545" w:type="dxa"/>
            <w:tcBorders>
              <w:top w:val="nil"/>
              <w:left w:val="nil"/>
              <w:bottom w:val="single" w:sz="6" w:space="0" w:color="auto"/>
              <w:right w:val="nil"/>
            </w:tcBorders>
          </w:tcPr>
          <w:p w14:paraId="74C9D76D" w14:textId="77777777" w:rsidR="00706A69" w:rsidRDefault="00706A69" w:rsidP="00A72BD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Adj. R-squared</w:t>
            </w:r>
          </w:p>
        </w:tc>
        <w:tc>
          <w:tcPr>
            <w:tcW w:w="2268" w:type="dxa"/>
            <w:tcBorders>
              <w:top w:val="nil"/>
              <w:left w:val="nil"/>
              <w:bottom w:val="single" w:sz="6" w:space="0" w:color="auto"/>
              <w:right w:val="nil"/>
            </w:tcBorders>
          </w:tcPr>
          <w:p w14:paraId="7E5A6EC6"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0.152</w:t>
            </w:r>
          </w:p>
        </w:tc>
        <w:tc>
          <w:tcPr>
            <w:tcW w:w="1584" w:type="dxa"/>
            <w:tcBorders>
              <w:top w:val="nil"/>
              <w:left w:val="nil"/>
              <w:bottom w:val="single" w:sz="6" w:space="0" w:color="auto"/>
              <w:right w:val="nil"/>
            </w:tcBorders>
          </w:tcPr>
          <w:p w14:paraId="6E589DA2"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0.265</w:t>
            </w:r>
          </w:p>
        </w:tc>
        <w:tc>
          <w:tcPr>
            <w:tcW w:w="1676" w:type="dxa"/>
            <w:tcBorders>
              <w:top w:val="nil"/>
              <w:left w:val="nil"/>
              <w:bottom w:val="single" w:sz="6" w:space="0" w:color="auto"/>
              <w:right w:val="nil"/>
            </w:tcBorders>
          </w:tcPr>
          <w:p w14:paraId="58A44BDB" w14:textId="77777777" w:rsidR="00706A69" w:rsidRDefault="00706A69" w:rsidP="00A72BD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0.293</w:t>
            </w:r>
          </w:p>
        </w:tc>
      </w:tr>
    </w:tbl>
    <w:p w14:paraId="7C558223" w14:textId="2871BAD0" w:rsidR="00706A69" w:rsidRDefault="00706A69" w:rsidP="00AE251F">
      <w:pPr>
        <w:spacing w:line="240" w:lineRule="auto"/>
        <w:contextualSpacing/>
        <w:rPr>
          <w:rFonts w:ascii="Times New Roman" w:hAnsi="Times New Roman"/>
          <w:b/>
          <w:sz w:val="24"/>
          <w:szCs w:val="24"/>
        </w:rPr>
      </w:pPr>
    </w:p>
    <w:p w14:paraId="2E189262" w14:textId="77777777" w:rsidR="00706A69" w:rsidRDefault="00706A69" w:rsidP="00AE251F">
      <w:pPr>
        <w:spacing w:line="240" w:lineRule="auto"/>
        <w:contextualSpacing/>
        <w:rPr>
          <w:rFonts w:ascii="Times New Roman" w:hAnsi="Times New Roman"/>
          <w:b/>
          <w:sz w:val="24"/>
          <w:szCs w:val="24"/>
        </w:rPr>
      </w:pPr>
    </w:p>
    <w:p w14:paraId="2AC95E2F" w14:textId="10631999" w:rsidR="000E6E26" w:rsidRDefault="000E6E26">
      <w:pPr>
        <w:rPr>
          <w:rFonts w:ascii="Times New Roman" w:hAnsi="Times New Roman"/>
          <w:b/>
          <w:sz w:val="24"/>
          <w:szCs w:val="24"/>
        </w:rPr>
      </w:pPr>
      <w:r>
        <w:rPr>
          <w:rFonts w:ascii="Times New Roman" w:hAnsi="Times New Roman"/>
          <w:b/>
          <w:sz w:val="24"/>
          <w:szCs w:val="24"/>
        </w:rPr>
        <w:br w:type="page"/>
      </w:r>
    </w:p>
    <w:p w14:paraId="4EE62D90" w14:textId="025430A5" w:rsidR="00144300" w:rsidRDefault="00144300" w:rsidP="00144300">
      <w:pPr>
        <w:spacing w:line="240" w:lineRule="auto"/>
        <w:contextualSpacing/>
        <w:jc w:val="center"/>
        <w:rPr>
          <w:rFonts w:ascii="Times New Roman" w:hAnsi="Times New Roman"/>
          <w:b/>
          <w:sz w:val="24"/>
          <w:szCs w:val="24"/>
        </w:rPr>
      </w:pPr>
      <w:r>
        <w:rPr>
          <w:rFonts w:ascii="Times New Roman" w:hAnsi="Times New Roman"/>
          <w:b/>
          <w:sz w:val="24"/>
          <w:szCs w:val="24"/>
        </w:rPr>
        <w:t>Table 10 - Continued</w:t>
      </w:r>
    </w:p>
    <w:p w14:paraId="44D9B815" w14:textId="36C572A1" w:rsidR="00AE251F" w:rsidRDefault="00144300" w:rsidP="00D433B6">
      <w:pPr>
        <w:pBdr>
          <w:bottom w:val="single" w:sz="12" w:space="1" w:color="auto"/>
        </w:pBdr>
        <w:spacing w:line="240" w:lineRule="auto"/>
        <w:contextualSpacing/>
        <w:jc w:val="center"/>
        <w:rPr>
          <w:rFonts w:ascii="Times New Roman" w:hAnsi="Times New Roman"/>
          <w:b/>
          <w:sz w:val="24"/>
          <w:szCs w:val="24"/>
        </w:rPr>
      </w:pPr>
      <w:r>
        <w:rPr>
          <w:rFonts w:ascii="Times New Roman" w:hAnsi="Times New Roman"/>
          <w:b/>
          <w:sz w:val="24"/>
          <w:szCs w:val="24"/>
        </w:rPr>
        <w:t>SG&amp;A Expenditures</w:t>
      </w:r>
      <w:r>
        <w:rPr>
          <w:rFonts w:ascii="Times New Roman" w:hAnsi="Times New Roman"/>
          <w:b/>
          <w:sz w:val="24"/>
          <w:szCs w:val="24"/>
          <w:vertAlign w:val="superscript"/>
        </w:rPr>
        <w:t>a</w:t>
      </w:r>
    </w:p>
    <w:p w14:paraId="7851DD75" w14:textId="1CB12855" w:rsidR="00C316C1" w:rsidRDefault="00AE251F" w:rsidP="00C02101">
      <w:pPr>
        <w:tabs>
          <w:tab w:val="left" w:pos="720"/>
        </w:tabs>
        <w:spacing w:after="0" w:line="240" w:lineRule="auto"/>
        <w:jc w:val="both"/>
        <w:rPr>
          <w:rFonts w:ascii="Times New Roman" w:hAnsi="Times New Roman"/>
          <w:sz w:val="24"/>
          <w:szCs w:val="24"/>
        </w:rPr>
      </w:pPr>
      <w:r>
        <w:rPr>
          <w:rFonts w:ascii="Times New Roman" w:hAnsi="Times New Roman"/>
          <w:sz w:val="24"/>
          <w:szCs w:val="24"/>
          <w:vertAlign w:val="superscript"/>
        </w:rPr>
        <w:t>a</w:t>
      </w:r>
      <w:r>
        <w:rPr>
          <w:rFonts w:ascii="Times New Roman" w:hAnsi="Times New Roman"/>
          <w:sz w:val="24"/>
          <w:szCs w:val="24"/>
        </w:rPr>
        <w:t>This</w:t>
      </w:r>
      <w:r w:rsidRPr="0080751D">
        <w:rPr>
          <w:rFonts w:ascii="Times New Roman" w:hAnsi="Times New Roman"/>
          <w:sz w:val="24"/>
          <w:szCs w:val="24"/>
        </w:rPr>
        <w:t xml:space="preserve"> table </w:t>
      </w:r>
      <w:r>
        <w:rPr>
          <w:rFonts w:ascii="Times New Roman" w:hAnsi="Times New Roman"/>
          <w:sz w:val="24"/>
          <w:szCs w:val="24"/>
        </w:rPr>
        <w:t xml:space="preserve">reports the coefficient </w:t>
      </w:r>
      <w:r w:rsidRPr="0080751D">
        <w:rPr>
          <w:rFonts w:ascii="Times New Roman" w:hAnsi="Times New Roman"/>
          <w:sz w:val="24"/>
          <w:szCs w:val="24"/>
        </w:rPr>
        <w:t>estimates</w:t>
      </w:r>
      <w:r>
        <w:rPr>
          <w:rFonts w:ascii="Times New Roman" w:hAnsi="Times New Roman"/>
          <w:sz w:val="24"/>
          <w:szCs w:val="24"/>
        </w:rPr>
        <w:t xml:space="preserve"> and t-statistics</w:t>
      </w:r>
      <w:r w:rsidRPr="0080751D">
        <w:rPr>
          <w:rFonts w:ascii="Times New Roman" w:hAnsi="Times New Roman"/>
          <w:sz w:val="24"/>
          <w:szCs w:val="24"/>
        </w:rPr>
        <w:t xml:space="preserve"> from the following regression:</w:t>
      </w:r>
      <w:r>
        <w:rPr>
          <w:rFonts w:ascii="Times New Roman" w:hAnsi="Times New Roman"/>
          <w:sz w:val="24"/>
          <w:szCs w:val="24"/>
        </w:rPr>
        <w:t xml:space="preserve"> </w:t>
      </w:r>
    </w:p>
    <w:p w14:paraId="0A2EF63D" w14:textId="14FC8267" w:rsidR="00AE251F" w:rsidRDefault="00706A69" w:rsidP="00C02101">
      <w:pPr>
        <w:tabs>
          <w:tab w:val="left" w:pos="720"/>
        </w:tabs>
        <w:spacing w:after="0" w:line="240" w:lineRule="auto"/>
        <w:jc w:val="both"/>
        <w:rPr>
          <w:rFonts w:ascii="Times New Roman" w:hAnsi="Times New Roman"/>
          <w:sz w:val="24"/>
          <w:szCs w:val="24"/>
        </w:rPr>
      </w:pPr>
      <w:r>
        <w:rPr>
          <w:rFonts w:ascii="Times New Roman" w:hAnsi="Times New Roman"/>
          <w:sz w:val="24"/>
          <w:szCs w:val="24"/>
        </w:rPr>
        <w:t>SG&amp;A Growth</w:t>
      </w:r>
      <w:r>
        <w:rPr>
          <w:rFonts w:ascii="Times New Roman" w:hAnsi="Times New Roman" w:cs="Times New Roman"/>
          <w:sz w:val="24"/>
          <w:szCs w:val="24"/>
        </w:rPr>
        <w:t xml:space="preserve"> = </w:t>
      </w:r>
      <w:r w:rsidR="00F327C9">
        <w:rPr>
          <w:rFonts w:ascii="Symbol" w:hAnsi="Symbol" w:cs="Times New Roman"/>
          <w:sz w:val="24"/>
          <w:szCs w:val="24"/>
        </w:rPr>
        <w:t></w:t>
      </w:r>
      <w:r w:rsidRPr="00DF2E72">
        <w:rPr>
          <w:rFonts w:ascii="Times New Roman" w:hAnsi="Times New Roman" w:cs="Times New Roman"/>
          <w:sz w:val="24"/>
          <w:szCs w:val="24"/>
          <w:vertAlign w:val="subscript"/>
        </w:rPr>
        <w:t xml:space="preserve">0 </w:t>
      </w:r>
      <w:r>
        <w:rPr>
          <w:rFonts w:ascii="Times New Roman" w:hAnsi="Times New Roman" w:cs="Times New Roman"/>
          <w:sz w:val="24"/>
          <w:szCs w:val="24"/>
        </w:rPr>
        <w:t>+ ∑</w:t>
      </w:r>
      <w:r w:rsidRPr="0012154E">
        <w:rPr>
          <w:rFonts w:ascii="Times New Roman" w:hAnsi="Times New Roman" w:cs="Times New Roman"/>
          <w:sz w:val="24"/>
          <w:szCs w:val="24"/>
          <w:vertAlign w:val="subscript"/>
        </w:rPr>
        <w:t xml:space="preserve">t </w:t>
      </w:r>
      <w:r>
        <w:rPr>
          <w:rFonts w:ascii="Symbol" w:hAnsi="Symbol" w:cs="Times New Roman"/>
          <w:sz w:val="24"/>
          <w:szCs w:val="24"/>
        </w:rPr>
        <w:t></w:t>
      </w:r>
      <w:r w:rsidRPr="0012154E">
        <w:rPr>
          <w:rFonts w:ascii="Times New Roman" w:hAnsi="Times New Roman" w:cs="Times New Roman"/>
          <w:sz w:val="24"/>
          <w:szCs w:val="24"/>
          <w:vertAlign w:val="subscript"/>
        </w:rPr>
        <w:t>t</w:t>
      </w:r>
      <w:r>
        <w:rPr>
          <w:rFonts w:ascii="Times New Roman" w:hAnsi="Times New Roman" w:cs="Times New Roman"/>
          <w:sz w:val="24"/>
          <w:szCs w:val="24"/>
        </w:rPr>
        <w:t>SWITCH*IFRS</w:t>
      </w:r>
      <w:r w:rsidRPr="0012154E">
        <w:rPr>
          <w:rFonts w:ascii="Times New Roman" w:hAnsi="Times New Roman" w:cs="Times New Roman"/>
          <w:sz w:val="24"/>
          <w:szCs w:val="24"/>
          <w:vertAlign w:val="subscript"/>
        </w:rPr>
        <w:t xml:space="preserve">t </w:t>
      </w:r>
      <w:r>
        <w:rPr>
          <w:rFonts w:ascii="Times New Roman" w:hAnsi="Times New Roman" w:cs="Times New Roman"/>
          <w:sz w:val="24"/>
          <w:szCs w:val="24"/>
        </w:rPr>
        <w:t>+ ∑</w:t>
      </w:r>
      <w:r w:rsidRPr="0012154E">
        <w:rPr>
          <w:rFonts w:ascii="Times New Roman" w:hAnsi="Times New Roman" w:cs="Times New Roman"/>
          <w:sz w:val="24"/>
          <w:szCs w:val="24"/>
          <w:vertAlign w:val="subscript"/>
        </w:rPr>
        <w:t>i</w:t>
      </w:r>
      <w:r>
        <w:rPr>
          <w:rFonts w:ascii="Symbol" w:hAnsi="Symbol" w:cs="Times New Roman"/>
          <w:sz w:val="24"/>
          <w:szCs w:val="24"/>
        </w:rPr>
        <w:sym w:font="Symbol" w:char="F046"/>
      </w:r>
      <w:r>
        <w:rPr>
          <w:rFonts w:ascii="Times New Roman" w:hAnsi="Times New Roman" w:cs="Times New Roman"/>
          <w:sz w:val="24"/>
          <w:szCs w:val="24"/>
          <w:vertAlign w:val="subscript"/>
        </w:rPr>
        <w:t>i</w:t>
      </w:r>
      <w:r>
        <w:rPr>
          <w:rFonts w:ascii="Times New Roman" w:hAnsi="Times New Roman" w:cs="Times New Roman"/>
          <w:sz w:val="24"/>
          <w:szCs w:val="24"/>
        </w:rPr>
        <w:t>Control</w:t>
      </w:r>
      <w:r w:rsidRPr="0012154E">
        <w:rPr>
          <w:rFonts w:ascii="Times New Roman" w:hAnsi="Times New Roman" w:cs="Times New Roman"/>
          <w:sz w:val="24"/>
          <w:szCs w:val="24"/>
          <w:vertAlign w:val="subscript"/>
        </w:rPr>
        <w:t xml:space="preserve">i </w:t>
      </w:r>
      <w:r>
        <w:rPr>
          <w:rFonts w:ascii="Times New Roman" w:hAnsi="Times New Roman" w:cs="Times New Roman"/>
          <w:sz w:val="24"/>
          <w:szCs w:val="24"/>
        </w:rPr>
        <w:t xml:space="preserve">+ firm fixed effects + year fixed effects + </w:t>
      </w:r>
      <w:r w:rsidRPr="003A2F91">
        <w:rPr>
          <w:rFonts w:ascii="Symbol" w:hAnsi="Symbol" w:cs="Times New Roman"/>
          <w:sz w:val="24"/>
          <w:szCs w:val="24"/>
        </w:rPr>
        <w:t></w:t>
      </w:r>
    </w:p>
    <w:p w14:paraId="46A92860" w14:textId="77777777" w:rsidR="00AE251F" w:rsidRDefault="00AE251F" w:rsidP="00C02101">
      <w:pPr>
        <w:spacing w:after="0" w:line="240" w:lineRule="auto"/>
        <w:contextualSpacing/>
        <w:jc w:val="both"/>
        <w:rPr>
          <w:rFonts w:ascii="Times New Roman" w:hAnsi="Times New Roman"/>
          <w:sz w:val="24"/>
          <w:szCs w:val="24"/>
        </w:rPr>
      </w:pPr>
    </w:p>
    <w:p w14:paraId="627EB6C7" w14:textId="09583F5B" w:rsidR="00AE251F" w:rsidRPr="005137F2" w:rsidRDefault="00FA2728" w:rsidP="00C02101">
      <w:pPr>
        <w:jc w:val="both"/>
        <w:rPr>
          <w:rFonts w:ascii="Times New Roman" w:hAnsi="Times New Roman" w:cs="Times New Roman"/>
          <w:sz w:val="24"/>
          <w:szCs w:val="24"/>
        </w:rPr>
      </w:pPr>
      <w:r>
        <w:rPr>
          <w:rFonts w:ascii="Times New Roman" w:hAnsi="Times New Roman"/>
          <w:sz w:val="24"/>
          <w:szCs w:val="24"/>
        </w:rPr>
        <w:t>The dependent variable (SG&amp;A Growth) is measured as follows: SGA_Gwth</w:t>
      </w:r>
      <w:r w:rsidRPr="00FD3A6E">
        <w:rPr>
          <w:rFonts w:ascii="Times New Roman" w:hAnsi="Times New Roman"/>
          <w:sz w:val="24"/>
          <w:szCs w:val="24"/>
        </w:rPr>
        <w:t xml:space="preserve"> </w:t>
      </w:r>
      <w:r>
        <w:rPr>
          <w:rFonts w:ascii="Times New Roman" w:hAnsi="Times New Roman"/>
          <w:sz w:val="24"/>
          <w:szCs w:val="24"/>
        </w:rPr>
        <w:t xml:space="preserve">is the change in </w:t>
      </w:r>
      <w:r w:rsidR="00293355">
        <w:rPr>
          <w:rFonts w:ascii="Times New Roman" w:hAnsi="Times New Roman"/>
          <w:sz w:val="24"/>
          <w:szCs w:val="24"/>
        </w:rPr>
        <w:t>SG&amp;A</w:t>
      </w:r>
      <w:r>
        <w:rPr>
          <w:rFonts w:ascii="Times New Roman" w:hAnsi="Times New Roman"/>
          <w:sz w:val="24"/>
          <w:szCs w:val="24"/>
        </w:rPr>
        <w:t xml:space="preserve"> expenditures divided by lagged R&amp;D expenditures;</w:t>
      </w:r>
      <w:r w:rsidRPr="00FD3A6E">
        <w:rPr>
          <w:rFonts w:ascii="Times New Roman" w:hAnsi="Times New Roman"/>
          <w:sz w:val="24"/>
          <w:szCs w:val="24"/>
        </w:rPr>
        <w:t xml:space="preserve"> </w:t>
      </w:r>
      <w:r>
        <w:rPr>
          <w:rFonts w:ascii="Times New Roman" w:hAnsi="Times New Roman"/>
          <w:sz w:val="24"/>
          <w:szCs w:val="24"/>
        </w:rPr>
        <w:t>SGA_TA is the change in</w:t>
      </w:r>
      <w:r w:rsidR="00293355">
        <w:rPr>
          <w:rFonts w:ascii="Times New Roman" w:hAnsi="Times New Roman"/>
          <w:sz w:val="24"/>
          <w:szCs w:val="24"/>
        </w:rPr>
        <w:t xml:space="preserve"> SG&amp;A</w:t>
      </w:r>
      <w:r>
        <w:rPr>
          <w:rFonts w:ascii="Times New Roman" w:hAnsi="Times New Roman"/>
          <w:sz w:val="24"/>
          <w:szCs w:val="24"/>
        </w:rPr>
        <w:t xml:space="preserve"> expenditures scaled by lagged total assets; SGA_Sales is the change in</w:t>
      </w:r>
      <w:r w:rsidR="00293355">
        <w:rPr>
          <w:rFonts w:ascii="Times New Roman" w:hAnsi="Times New Roman"/>
          <w:sz w:val="24"/>
          <w:szCs w:val="24"/>
        </w:rPr>
        <w:t xml:space="preserve"> SG&amp;A</w:t>
      </w:r>
      <w:r>
        <w:rPr>
          <w:rFonts w:ascii="Times New Roman" w:hAnsi="Times New Roman"/>
          <w:sz w:val="24"/>
          <w:szCs w:val="24"/>
        </w:rPr>
        <w:t xml:space="preserve"> expenditures divided by lagged sales.</w:t>
      </w:r>
      <w:r w:rsidR="00C316C1">
        <w:rPr>
          <w:rFonts w:ascii="Times New Roman" w:hAnsi="Times New Roman"/>
          <w:sz w:val="24"/>
          <w:szCs w:val="24"/>
        </w:rPr>
        <w:t xml:space="preserve"> </w:t>
      </w:r>
      <w:r w:rsidR="00AA5F43">
        <w:rPr>
          <w:rFonts w:ascii="Times New Roman" w:hAnsi="Times New Roman"/>
          <w:sz w:val="24"/>
          <w:szCs w:val="24"/>
        </w:rPr>
        <w:t xml:space="preserve">SWITCH is an indicator variable that equals 1 for switchers (firms that switched from </w:t>
      </w:r>
      <w:r w:rsidR="00AA5F43">
        <w:rPr>
          <w:rFonts w:ascii="Times New Roman" w:hAnsi="Times New Roman" w:cs="Times New Roman"/>
          <w:sz w:val="24"/>
          <w:szCs w:val="24"/>
        </w:rPr>
        <w:t>expensing R&amp;D under UK GAAP to capitalizing R&amp;D under IFRS</w:t>
      </w:r>
      <w:r w:rsidR="00AA5F43">
        <w:rPr>
          <w:rFonts w:ascii="Times New Roman" w:hAnsi="Times New Roman"/>
          <w:sz w:val="24"/>
          <w:szCs w:val="24"/>
        </w:rPr>
        <w:t>), and 0 for capitalizers (firms that always capitalized under UK GAAP and IFRS</w:t>
      </w:r>
      <w:r w:rsidR="00AA5F43" w:rsidRPr="005137F2">
        <w:rPr>
          <w:rFonts w:ascii="Times New Roman" w:hAnsi="Times New Roman" w:cs="Times New Roman"/>
          <w:sz w:val="24"/>
          <w:szCs w:val="24"/>
        </w:rPr>
        <w:t>).</w:t>
      </w:r>
      <w:r w:rsidR="00C316C1">
        <w:rPr>
          <w:rFonts w:ascii="Times New Roman" w:hAnsi="Times New Roman"/>
          <w:sz w:val="24"/>
          <w:szCs w:val="24"/>
        </w:rPr>
        <w:t xml:space="preserve"> </w:t>
      </w:r>
      <w:r w:rsidR="00C316C1" w:rsidRPr="005137F2">
        <w:rPr>
          <w:rFonts w:ascii="Times New Roman" w:hAnsi="Times New Roman" w:cs="Times New Roman"/>
          <w:sz w:val="24"/>
          <w:szCs w:val="24"/>
        </w:rPr>
        <w:t>IFRS</w:t>
      </w:r>
      <w:r w:rsidR="00C316C1" w:rsidRPr="005137F2">
        <w:rPr>
          <w:rFonts w:ascii="Times New Roman" w:hAnsi="Times New Roman" w:cs="Times New Roman"/>
          <w:sz w:val="24"/>
          <w:szCs w:val="24"/>
          <w:vertAlign w:val="subscript"/>
        </w:rPr>
        <w:t>t</w:t>
      </w:r>
      <w:r w:rsidR="00C316C1" w:rsidRPr="005137F2">
        <w:rPr>
          <w:rFonts w:ascii="Times New Roman" w:hAnsi="Times New Roman" w:cs="Times New Roman"/>
          <w:sz w:val="24"/>
          <w:szCs w:val="24"/>
        </w:rPr>
        <w:t xml:space="preserve"> are a sequence of indicator variables that equals 1 in the year t relative to IFRS period (2005 and beyond) and 0 otherwise, where t runs from </w:t>
      </w:r>
      <w:r w:rsidR="00EE37C3" w:rsidRPr="005137F2">
        <w:rPr>
          <w:rFonts w:ascii="Times New Roman" w:hAnsi="Times New Roman" w:cs="Times New Roman"/>
          <w:sz w:val="24"/>
          <w:szCs w:val="24"/>
        </w:rPr>
        <w:t>-</w:t>
      </w:r>
      <w:r w:rsidR="00C316C1" w:rsidRPr="005137F2">
        <w:rPr>
          <w:rFonts w:ascii="Times New Roman" w:hAnsi="Times New Roman" w:cs="Times New Roman"/>
          <w:sz w:val="24"/>
          <w:szCs w:val="24"/>
        </w:rPr>
        <w:t>4 to +3 (i.e., 4 years before through 3 years after IFRS adoption).</w:t>
      </w:r>
      <w:r w:rsidR="00AE251F" w:rsidRPr="005137F2">
        <w:rPr>
          <w:rFonts w:ascii="Times New Roman" w:hAnsi="Times New Roman" w:cs="Times New Roman"/>
          <w:sz w:val="24"/>
          <w:szCs w:val="24"/>
        </w:rPr>
        <w:t xml:space="preserve"> </w:t>
      </w:r>
      <w:r w:rsidR="00C316C1" w:rsidRPr="005137F2">
        <w:rPr>
          <w:rFonts w:ascii="Times New Roman" w:hAnsi="Times New Roman" w:cs="Times New Roman"/>
          <w:sz w:val="24"/>
          <w:szCs w:val="24"/>
        </w:rPr>
        <w:t xml:space="preserve">See Table 6 for the definition of the control variables. </w:t>
      </w:r>
    </w:p>
    <w:p w14:paraId="3236CA35" w14:textId="23006B39" w:rsidR="00AE251F" w:rsidRDefault="00AE251F" w:rsidP="00C02101">
      <w:pPr>
        <w:contextualSpacing/>
        <w:jc w:val="both"/>
        <w:rPr>
          <w:rFonts w:ascii="Times New Roman" w:hAnsi="Times New Roman"/>
          <w:sz w:val="24"/>
          <w:szCs w:val="24"/>
        </w:rPr>
      </w:pPr>
      <w:r w:rsidRPr="0080751D">
        <w:rPr>
          <w:rFonts w:ascii="Times New Roman" w:hAnsi="Times New Roman"/>
          <w:sz w:val="24"/>
          <w:szCs w:val="24"/>
        </w:rPr>
        <w:t>Standard errors are clustered by firm.</w:t>
      </w:r>
      <w:r>
        <w:rPr>
          <w:rFonts w:ascii="Times New Roman" w:hAnsi="Times New Roman"/>
          <w:sz w:val="24"/>
          <w:szCs w:val="24"/>
        </w:rPr>
        <w:t xml:space="preserve"> </w:t>
      </w:r>
    </w:p>
    <w:p w14:paraId="7AF82BE4" w14:textId="77777777" w:rsidR="00AE251F" w:rsidRPr="0080751D" w:rsidRDefault="00AE251F" w:rsidP="00C02101">
      <w:pPr>
        <w:contextualSpacing/>
        <w:jc w:val="both"/>
        <w:rPr>
          <w:rFonts w:ascii="Times New Roman" w:hAnsi="Times New Roman"/>
          <w:sz w:val="24"/>
          <w:szCs w:val="24"/>
        </w:rPr>
      </w:pPr>
    </w:p>
    <w:p w14:paraId="1DB8C576" w14:textId="77777777" w:rsidR="00AE251F" w:rsidRPr="0080751D" w:rsidRDefault="00AE251F" w:rsidP="00C02101">
      <w:pPr>
        <w:spacing w:before="100" w:beforeAutospacing="1" w:after="0" w:line="240" w:lineRule="auto"/>
        <w:contextualSpacing/>
        <w:jc w:val="both"/>
        <w:rPr>
          <w:rFonts w:ascii="Times New Roman" w:hAnsi="Times New Roman"/>
          <w:sz w:val="24"/>
          <w:szCs w:val="24"/>
        </w:rPr>
      </w:pPr>
      <w:r w:rsidRPr="0080751D">
        <w:rPr>
          <w:rFonts w:ascii="Times New Roman" w:hAnsi="Times New Roman"/>
          <w:sz w:val="24"/>
          <w:szCs w:val="24"/>
        </w:rPr>
        <w:t>*, ** and *** indicate significance at the 0.10, 0.05 and 0.01 levels, respectively.</w:t>
      </w:r>
    </w:p>
    <w:p w14:paraId="547C0E9E" w14:textId="4517D123" w:rsidR="00AE251F" w:rsidRDefault="00AE251F" w:rsidP="00AE251F">
      <w:pPr>
        <w:spacing w:line="240" w:lineRule="auto"/>
        <w:contextualSpacing/>
        <w:jc w:val="center"/>
        <w:rPr>
          <w:rFonts w:ascii="Times New Roman" w:hAnsi="Times New Roman"/>
          <w:b/>
          <w:sz w:val="24"/>
          <w:szCs w:val="24"/>
        </w:rPr>
      </w:pPr>
    </w:p>
    <w:p w14:paraId="5F6607D4" w14:textId="77777777" w:rsidR="00E400D4" w:rsidRDefault="00E400D4">
      <w:pPr>
        <w:rPr>
          <w:rFonts w:ascii="Times New Roman" w:hAnsi="Times New Roman"/>
          <w:b/>
          <w:sz w:val="24"/>
          <w:szCs w:val="24"/>
        </w:rPr>
      </w:pPr>
    </w:p>
    <w:p w14:paraId="069EFA2A" w14:textId="77777777" w:rsidR="00E400D4" w:rsidRDefault="00E400D4">
      <w:pPr>
        <w:rPr>
          <w:rFonts w:ascii="Times New Roman" w:hAnsi="Times New Roman"/>
          <w:b/>
          <w:sz w:val="24"/>
          <w:szCs w:val="24"/>
        </w:rPr>
      </w:pPr>
    </w:p>
    <w:p w14:paraId="2EF960B1" w14:textId="77777777" w:rsidR="00E400D4" w:rsidRDefault="00E400D4">
      <w:pPr>
        <w:rPr>
          <w:rFonts w:ascii="Times New Roman" w:hAnsi="Times New Roman"/>
          <w:b/>
          <w:sz w:val="24"/>
          <w:szCs w:val="24"/>
        </w:rPr>
      </w:pPr>
    </w:p>
    <w:p w14:paraId="2D740B4A" w14:textId="77777777" w:rsidR="00E400D4" w:rsidRDefault="00E400D4">
      <w:pPr>
        <w:rPr>
          <w:rFonts w:ascii="Times New Roman" w:hAnsi="Times New Roman"/>
          <w:b/>
          <w:sz w:val="24"/>
          <w:szCs w:val="24"/>
        </w:rPr>
      </w:pPr>
    </w:p>
    <w:p w14:paraId="6D5D2BBE" w14:textId="77777777" w:rsidR="00E400D4" w:rsidRDefault="00E400D4">
      <w:pPr>
        <w:rPr>
          <w:rFonts w:ascii="Times New Roman" w:hAnsi="Times New Roman"/>
          <w:b/>
          <w:sz w:val="24"/>
          <w:szCs w:val="24"/>
        </w:rPr>
      </w:pPr>
    </w:p>
    <w:p w14:paraId="6A6081BF" w14:textId="77777777" w:rsidR="00E400D4" w:rsidRDefault="00E400D4">
      <w:pPr>
        <w:rPr>
          <w:rFonts w:ascii="Times New Roman" w:hAnsi="Times New Roman"/>
          <w:b/>
          <w:sz w:val="24"/>
          <w:szCs w:val="24"/>
        </w:rPr>
      </w:pPr>
    </w:p>
    <w:p w14:paraId="406AD24F" w14:textId="77777777" w:rsidR="00E400D4" w:rsidRDefault="00E400D4">
      <w:pPr>
        <w:rPr>
          <w:rFonts w:ascii="Times New Roman" w:hAnsi="Times New Roman"/>
          <w:b/>
          <w:sz w:val="24"/>
          <w:szCs w:val="24"/>
        </w:rPr>
      </w:pPr>
    </w:p>
    <w:p w14:paraId="74E69804" w14:textId="77777777" w:rsidR="00E400D4" w:rsidRDefault="00E400D4">
      <w:pPr>
        <w:rPr>
          <w:rFonts w:ascii="Times New Roman" w:hAnsi="Times New Roman"/>
          <w:b/>
          <w:sz w:val="24"/>
          <w:szCs w:val="24"/>
        </w:rPr>
      </w:pPr>
    </w:p>
    <w:p w14:paraId="6FCCB467" w14:textId="77777777" w:rsidR="00E400D4" w:rsidRDefault="00E400D4">
      <w:pPr>
        <w:rPr>
          <w:rFonts w:ascii="Times New Roman" w:hAnsi="Times New Roman"/>
          <w:b/>
          <w:sz w:val="24"/>
          <w:szCs w:val="24"/>
        </w:rPr>
      </w:pPr>
    </w:p>
    <w:p w14:paraId="6A60D794" w14:textId="77777777" w:rsidR="00E400D4" w:rsidRDefault="00E400D4">
      <w:pPr>
        <w:rPr>
          <w:rFonts w:ascii="Times New Roman" w:hAnsi="Times New Roman"/>
          <w:b/>
          <w:sz w:val="24"/>
          <w:szCs w:val="24"/>
        </w:rPr>
      </w:pPr>
    </w:p>
    <w:p w14:paraId="35B1B44C" w14:textId="77777777" w:rsidR="009E6656" w:rsidRDefault="009E6656" w:rsidP="009E6656">
      <w:pPr>
        <w:contextualSpacing/>
        <w:jc w:val="center"/>
        <w:rPr>
          <w:rFonts w:ascii="Times New Roman" w:hAnsi="Times New Roman"/>
          <w:b/>
          <w:sz w:val="24"/>
          <w:szCs w:val="24"/>
        </w:rPr>
      </w:pPr>
    </w:p>
    <w:p w14:paraId="7D5E8C8A" w14:textId="77777777" w:rsidR="009E6656" w:rsidRDefault="009E6656" w:rsidP="009E6656">
      <w:pPr>
        <w:contextualSpacing/>
        <w:jc w:val="center"/>
        <w:rPr>
          <w:rFonts w:ascii="Times New Roman" w:hAnsi="Times New Roman"/>
          <w:b/>
          <w:sz w:val="24"/>
          <w:szCs w:val="24"/>
        </w:rPr>
      </w:pPr>
    </w:p>
    <w:p w14:paraId="2F428E88" w14:textId="77777777" w:rsidR="009E6656" w:rsidRDefault="009E6656" w:rsidP="009E6656">
      <w:pPr>
        <w:contextualSpacing/>
        <w:jc w:val="center"/>
        <w:rPr>
          <w:rFonts w:ascii="Times New Roman" w:hAnsi="Times New Roman"/>
          <w:b/>
          <w:sz w:val="24"/>
          <w:szCs w:val="24"/>
        </w:rPr>
      </w:pPr>
    </w:p>
    <w:p w14:paraId="2762CFC0" w14:textId="77777777" w:rsidR="009E6656" w:rsidRDefault="009E6656" w:rsidP="009E6656">
      <w:pPr>
        <w:contextualSpacing/>
        <w:jc w:val="center"/>
        <w:rPr>
          <w:rFonts w:ascii="Times New Roman" w:hAnsi="Times New Roman"/>
          <w:b/>
          <w:sz w:val="24"/>
          <w:szCs w:val="24"/>
        </w:rPr>
      </w:pPr>
    </w:p>
    <w:p w14:paraId="14C8B226" w14:textId="77777777" w:rsidR="009E6656" w:rsidRDefault="009E6656" w:rsidP="009E6656">
      <w:pPr>
        <w:contextualSpacing/>
        <w:jc w:val="center"/>
        <w:rPr>
          <w:rFonts w:ascii="Times New Roman" w:hAnsi="Times New Roman"/>
          <w:b/>
          <w:sz w:val="24"/>
          <w:szCs w:val="24"/>
        </w:rPr>
      </w:pPr>
    </w:p>
    <w:p w14:paraId="72671486" w14:textId="77777777" w:rsidR="009E6656" w:rsidRDefault="009E6656" w:rsidP="009E6656">
      <w:pPr>
        <w:contextualSpacing/>
        <w:jc w:val="center"/>
        <w:rPr>
          <w:rFonts w:ascii="Times New Roman" w:hAnsi="Times New Roman"/>
          <w:b/>
          <w:sz w:val="24"/>
          <w:szCs w:val="24"/>
        </w:rPr>
      </w:pPr>
    </w:p>
    <w:p w14:paraId="778B45C6" w14:textId="77777777" w:rsidR="009E6656" w:rsidRDefault="009E6656" w:rsidP="009E6656">
      <w:pPr>
        <w:contextualSpacing/>
        <w:jc w:val="center"/>
        <w:rPr>
          <w:rFonts w:ascii="Times New Roman" w:hAnsi="Times New Roman"/>
          <w:b/>
          <w:sz w:val="24"/>
          <w:szCs w:val="24"/>
        </w:rPr>
      </w:pPr>
    </w:p>
    <w:p w14:paraId="59A215AF" w14:textId="77777777" w:rsidR="00C02101" w:rsidRDefault="00C02101" w:rsidP="009E6656">
      <w:pPr>
        <w:contextualSpacing/>
        <w:jc w:val="center"/>
        <w:rPr>
          <w:rFonts w:ascii="Times New Roman" w:hAnsi="Times New Roman"/>
          <w:b/>
          <w:sz w:val="24"/>
          <w:szCs w:val="24"/>
        </w:rPr>
      </w:pPr>
    </w:p>
    <w:p w14:paraId="79E9D7EB" w14:textId="77777777" w:rsidR="00C02101" w:rsidRDefault="00C02101" w:rsidP="009E6656">
      <w:pPr>
        <w:contextualSpacing/>
        <w:jc w:val="center"/>
        <w:rPr>
          <w:rFonts w:ascii="Times New Roman" w:hAnsi="Times New Roman"/>
          <w:b/>
          <w:sz w:val="24"/>
          <w:szCs w:val="24"/>
        </w:rPr>
      </w:pPr>
    </w:p>
    <w:p w14:paraId="0A23950E" w14:textId="3A26B490" w:rsidR="00E400D4" w:rsidRPr="009E6656" w:rsidRDefault="00E400D4" w:rsidP="009E6656">
      <w:pPr>
        <w:contextualSpacing/>
        <w:jc w:val="center"/>
        <w:rPr>
          <w:rFonts w:ascii="Times New Roman" w:hAnsi="Times New Roman"/>
          <w:b/>
          <w:sz w:val="24"/>
          <w:szCs w:val="24"/>
        </w:rPr>
      </w:pPr>
      <w:r w:rsidRPr="009E6656">
        <w:rPr>
          <w:rFonts w:ascii="Times New Roman" w:hAnsi="Times New Roman"/>
          <w:b/>
          <w:sz w:val="24"/>
          <w:szCs w:val="24"/>
        </w:rPr>
        <w:t>Table 11</w:t>
      </w:r>
    </w:p>
    <w:p w14:paraId="733815A2" w14:textId="6F039A6A" w:rsidR="00E400D4" w:rsidRDefault="00E400D4" w:rsidP="009E6656">
      <w:pPr>
        <w:pBdr>
          <w:bottom w:val="single" w:sz="12" w:space="1" w:color="auto"/>
        </w:pBdr>
        <w:contextualSpacing/>
        <w:jc w:val="center"/>
        <w:rPr>
          <w:rFonts w:ascii="Times New Roman" w:hAnsi="Times New Roman"/>
          <w:b/>
          <w:sz w:val="24"/>
          <w:szCs w:val="24"/>
          <w:vertAlign w:val="superscript"/>
        </w:rPr>
      </w:pPr>
      <w:r>
        <w:rPr>
          <w:rFonts w:ascii="Times New Roman" w:hAnsi="Times New Roman"/>
          <w:b/>
          <w:sz w:val="24"/>
          <w:szCs w:val="24"/>
        </w:rPr>
        <w:t>Other IFRS Changes</w:t>
      </w:r>
      <w:r>
        <w:rPr>
          <w:rFonts w:ascii="Times New Roman" w:hAnsi="Times New Roman"/>
          <w:b/>
          <w:sz w:val="24"/>
          <w:szCs w:val="24"/>
          <w:vertAlign w:val="superscript"/>
        </w:rPr>
        <w:t>a</w:t>
      </w:r>
    </w:p>
    <w:tbl>
      <w:tblPr>
        <w:tblW w:w="8196" w:type="dxa"/>
        <w:jc w:val="center"/>
        <w:tblLayout w:type="fixed"/>
        <w:tblCellMar>
          <w:left w:w="75" w:type="dxa"/>
          <w:right w:w="75" w:type="dxa"/>
        </w:tblCellMar>
        <w:tblLook w:val="0000" w:firstRow="0" w:lastRow="0" w:firstColumn="0" w:lastColumn="0" w:noHBand="0" w:noVBand="0"/>
      </w:tblPr>
      <w:tblGrid>
        <w:gridCol w:w="3099"/>
        <w:gridCol w:w="1721"/>
        <w:gridCol w:w="1698"/>
        <w:gridCol w:w="1678"/>
      </w:tblGrid>
      <w:tr w:rsidR="00E400D4" w14:paraId="4A115270" w14:textId="77777777" w:rsidTr="009E6656">
        <w:trPr>
          <w:jc w:val="center"/>
        </w:trPr>
        <w:tc>
          <w:tcPr>
            <w:tcW w:w="3099" w:type="dxa"/>
            <w:tcBorders>
              <w:top w:val="single" w:sz="6" w:space="0" w:color="auto"/>
              <w:left w:val="nil"/>
              <w:bottom w:val="nil"/>
              <w:right w:val="nil"/>
            </w:tcBorders>
          </w:tcPr>
          <w:p w14:paraId="45E3ADDA"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p>
        </w:tc>
        <w:tc>
          <w:tcPr>
            <w:tcW w:w="1721" w:type="dxa"/>
            <w:tcBorders>
              <w:top w:val="single" w:sz="6" w:space="0" w:color="auto"/>
              <w:left w:val="nil"/>
              <w:bottom w:val="nil"/>
              <w:right w:val="nil"/>
            </w:tcBorders>
          </w:tcPr>
          <w:p w14:paraId="4A914F7F" w14:textId="023AA0DA" w:rsidR="00E400D4" w:rsidRDefault="0006627E"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98" w:type="dxa"/>
            <w:tcBorders>
              <w:top w:val="single" w:sz="6" w:space="0" w:color="auto"/>
              <w:left w:val="nil"/>
              <w:bottom w:val="nil"/>
              <w:right w:val="nil"/>
            </w:tcBorders>
          </w:tcPr>
          <w:p w14:paraId="43A3AA08" w14:textId="3E23FAA3" w:rsidR="00E400D4" w:rsidRDefault="0006627E"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78" w:type="dxa"/>
            <w:tcBorders>
              <w:top w:val="single" w:sz="6" w:space="0" w:color="auto"/>
              <w:left w:val="nil"/>
              <w:bottom w:val="nil"/>
              <w:right w:val="nil"/>
            </w:tcBorders>
          </w:tcPr>
          <w:p w14:paraId="78BEC826" w14:textId="03346994" w:rsidR="00E400D4" w:rsidRDefault="0006627E"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E400D4" w14:paraId="59CDE9EA" w14:textId="77777777" w:rsidTr="009E6656">
        <w:trPr>
          <w:jc w:val="center"/>
        </w:trPr>
        <w:tc>
          <w:tcPr>
            <w:tcW w:w="3099" w:type="dxa"/>
            <w:tcBorders>
              <w:top w:val="nil"/>
              <w:left w:val="nil"/>
              <w:bottom w:val="single" w:sz="6" w:space="0" w:color="auto"/>
              <w:right w:val="nil"/>
            </w:tcBorders>
          </w:tcPr>
          <w:p w14:paraId="15947D9D"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VARIABLES</w:t>
            </w:r>
          </w:p>
        </w:tc>
        <w:tc>
          <w:tcPr>
            <w:tcW w:w="1721" w:type="dxa"/>
            <w:tcBorders>
              <w:top w:val="nil"/>
              <w:left w:val="nil"/>
              <w:bottom w:val="single" w:sz="6" w:space="0" w:color="auto"/>
              <w:right w:val="nil"/>
            </w:tcBorders>
          </w:tcPr>
          <w:p w14:paraId="7CA3AB3A"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RD_Gwth</w:t>
            </w:r>
          </w:p>
        </w:tc>
        <w:tc>
          <w:tcPr>
            <w:tcW w:w="1698" w:type="dxa"/>
            <w:tcBorders>
              <w:top w:val="nil"/>
              <w:left w:val="nil"/>
              <w:bottom w:val="single" w:sz="6" w:space="0" w:color="auto"/>
              <w:right w:val="nil"/>
            </w:tcBorders>
          </w:tcPr>
          <w:p w14:paraId="2DECBCF1"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RD_TA</w:t>
            </w:r>
          </w:p>
        </w:tc>
        <w:tc>
          <w:tcPr>
            <w:tcW w:w="1678" w:type="dxa"/>
            <w:tcBorders>
              <w:top w:val="nil"/>
              <w:left w:val="nil"/>
              <w:bottom w:val="single" w:sz="6" w:space="0" w:color="auto"/>
              <w:right w:val="nil"/>
            </w:tcBorders>
          </w:tcPr>
          <w:p w14:paraId="6E19408A"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RD_Sales</w:t>
            </w:r>
          </w:p>
        </w:tc>
      </w:tr>
      <w:tr w:rsidR="00E400D4" w14:paraId="1AA7CAC6" w14:textId="77777777" w:rsidTr="009E6656">
        <w:trPr>
          <w:jc w:val="center"/>
        </w:trPr>
        <w:tc>
          <w:tcPr>
            <w:tcW w:w="3099" w:type="dxa"/>
            <w:tcBorders>
              <w:top w:val="nil"/>
              <w:left w:val="nil"/>
              <w:bottom w:val="nil"/>
              <w:right w:val="nil"/>
            </w:tcBorders>
          </w:tcPr>
          <w:p w14:paraId="2DC14F6C"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SWITCH*IFRS year – 3</w:t>
            </w:r>
          </w:p>
        </w:tc>
        <w:tc>
          <w:tcPr>
            <w:tcW w:w="1721" w:type="dxa"/>
            <w:tcBorders>
              <w:top w:val="nil"/>
              <w:left w:val="nil"/>
              <w:bottom w:val="nil"/>
              <w:right w:val="nil"/>
            </w:tcBorders>
          </w:tcPr>
          <w:p w14:paraId="6C10BA33"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0.096</w:t>
            </w:r>
          </w:p>
        </w:tc>
        <w:tc>
          <w:tcPr>
            <w:tcW w:w="1698" w:type="dxa"/>
            <w:tcBorders>
              <w:top w:val="nil"/>
              <w:left w:val="nil"/>
              <w:bottom w:val="nil"/>
              <w:right w:val="nil"/>
            </w:tcBorders>
          </w:tcPr>
          <w:p w14:paraId="58C419CE"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w:t>
            </w:r>
          </w:p>
        </w:tc>
        <w:tc>
          <w:tcPr>
            <w:tcW w:w="1678" w:type="dxa"/>
            <w:tcBorders>
              <w:top w:val="nil"/>
              <w:left w:val="nil"/>
              <w:bottom w:val="nil"/>
              <w:right w:val="nil"/>
            </w:tcBorders>
          </w:tcPr>
          <w:p w14:paraId="761EE799"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-0.021</w:t>
            </w:r>
          </w:p>
        </w:tc>
      </w:tr>
      <w:tr w:rsidR="00E400D4" w14:paraId="4CDE6395" w14:textId="77777777" w:rsidTr="009E6656">
        <w:trPr>
          <w:jc w:val="center"/>
        </w:trPr>
        <w:tc>
          <w:tcPr>
            <w:tcW w:w="3099" w:type="dxa"/>
            <w:tcBorders>
              <w:top w:val="nil"/>
              <w:left w:val="nil"/>
              <w:bottom w:val="nil"/>
              <w:right w:val="nil"/>
            </w:tcBorders>
          </w:tcPr>
          <w:p w14:paraId="321AE0E0"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p>
        </w:tc>
        <w:tc>
          <w:tcPr>
            <w:tcW w:w="1721" w:type="dxa"/>
            <w:tcBorders>
              <w:top w:val="nil"/>
              <w:left w:val="nil"/>
              <w:bottom w:val="nil"/>
              <w:right w:val="nil"/>
            </w:tcBorders>
          </w:tcPr>
          <w:p w14:paraId="4C31CE23"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(0.69)</w:t>
            </w:r>
          </w:p>
        </w:tc>
        <w:tc>
          <w:tcPr>
            <w:tcW w:w="1698" w:type="dxa"/>
            <w:tcBorders>
              <w:top w:val="nil"/>
              <w:left w:val="nil"/>
              <w:bottom w:val="nil"/>
              <w:right w:val="nil"/>
            </w:tcBorders>
          </w:tcPr>
          <w:p w14:paraId="2DBDE99C"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(0.10)</w:t>
            </w:r>
          </w:p>
        </w:tc>
        <w:tc>
          <w:tcPr>
            <w:tcW w:w="1678" w:type="dxa"/>
            <w:tcBorders>
              <w:top w:val="nil"/>
              <w:left w:val="nil"/>
              <w:bottom w:val="nil"/>
              <w:right w:val="nil"/>
            </w:tcBorders>
          </w:tcPr>
          <w:p w14:paraId="69B7D7CB"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(-0.74)</w:t>
            </w:r>
          </w:p>
        </w:tc>
      </w:tr>
      <w:tr w:rsidR="00E400D4" w14:paraId="6217FC21" w14:textId="77777777" w:rsidTr="009E6656">
        <w:trPr>
          <w:jc w:val="center"/>
        </w:trPr>
        <w:tc>
          <w:tcPr>
            <w:tcW w:w="3099" w:type="dxa"/>
            <w:tcBorders>
              <w:top w:val="nil"/>
              <w:left w:val="nil"/>
              <w:bottom w:val="nil"/>
              <w:right w:val="nil"/>
            </w:tcBorders>
          </w:tcPr>
          <w:p w14:paraId="0A9F26FF"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SWITCH*IFRS year – 2</w:t>
            </w:r>
          </w:p>
        </w:tc>
        <w:tc>
          <w:tcPr>
            <w:tcW w:w="1721" w:type="dxa"/>
            <w:tcBorders>
              <w:top w:val="nil"/>
              <w:left w:val="nil"/>
              <w:bottom w:val="nil"/>
              <w:right w:val="nil"/>
            </w:tcBorders>
          </w:tcPr>
          <w:p w14:paraId="16A7AC47"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0.177</w:t>
            </w:r>
          </w:p>
        </w:tc>
        <w:tc>
          <w:tcPr>
            <w:tcW w:w="1698" w:type="dxa"/>
            <w:tcBorders>
              <w:top w:val="nil"/>
              <w:left w:val="nil"/>
              <w:bottom w:val="nil"/>
              <w:right w:val="nil"/>
            </w:tcBorders>
          </w:tcPr>
          <w:p w14:paraId="3988D6A4"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0.017</w:t>
            </w:r>
          </w:p>
        </w:tc>
        <w:tc>
          <w:tcPr>
            <w:tcW w:w="1678" w:type="dxa"/>
            <w:tcBorders>
              <w:top w:val="nil"/>
              <w:left w:val="nil"/>
              <w:bottom w:val="nil"/>
              <w:right w:val="nil"/>
            </w:tcBorders>
          </w:tcPr>
          <w:p w14:paraId="519F29EB"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0.017</w:t>
            </w:r>
          </w:p>
        </w:tc>
      </w:tr>
      <w:tr w:rsidR="00E400D4" w14:paraId="2C9D32C2" w14:textId="77777777" w:rsidTr="009E6656">
        <w:trPr>
          <w:jc w:val="center"/>
        </w:trPr>
        <w:tc>
          <w:tcPr>
            <w:tcW w:w="3099" w:type="dxa"/>
            <w:tcBorders>
              <w:top w:val="nil"/>
              <w:left w:val="nil"/>
              <w:bottom w:val="nil"/>
              <w:right w:val="nil"/>
            </w:tcBorders>
          </w:tcPr>
          <w:p w14:paraId="4D305D12"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p>
        </w:tc>
        <w:tc>
          <w:tcPr>
            <w:tcW w:w="1721" w:type="dxa"/>
            <w:tcBorders>
              <w:top w:val="nil"/>
              <w:left w:val="nil"/>
              <w:bottom w:val="nil"/>
              <w:right w:val="nil"/>
            </w:tcBorders>
          </w:tcPr>
          <w:p w14:paraId="536F68A2"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(1.35)</w:t>
            </w:r>
          </w:p>
        </w:tc>
        <w:tc>
          <w:tcPr>
            <w:tcW w:w="1698" w:type="dxa"/>
            <w:tcBorders>
              <w:top w:val="nil"/>
              <w:left w:val="nil"/>
              <w:bottom w:val="nil"/>
              <w:right w:val="nil"/>
            </w:tcBorders>
          </w:tcPr>
          <w:p w14:paraId="740DFAAC"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(1.59)</w:t>
            </w:r>
          </w:p>
        </w:tc>
        <w:tc>
          <w:tcPr>
            <w:tcW w:w="1678" w:type="dxa"/>
            <w:tcBorders>
              <w:top w:val="nil"/>
              <w:left w:val="nil"/>
              <w:bottom w:val="nil"/>
              <w:right w:val="nil"/>
            </w:tcBorders>
          </w:tcPr>
          <w:p w14:paraId="575680EF"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(1.59)</w:t>
            </w:r>
          </w:p>
        </w:tc>
      </w:tr>
      <w:tr w:rsidR="00E400D4" w14:paraId="4AE18648" w14:textId="77777777" w:rsidTr="009E6656">
        <w:trPr>
          <w:jc w:val="center"/>
        </w:trPr>
        <w:tc>
          <w:tcPr>
            <w:tcW w:w="3099" w:type="dxa"/>
            <w:tcBorders>
              <w:top w:val="nil"/>
              <w:left w:val="nil"/>
              <w:bottom w:val="nil"/>
              <w:right w:val="nil"/>
            </w:tcBorders>
          </w:tcPr>
          <w:p w14:paraId="25B0FF77"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SWITCH*IFRS year – 1</w:t>
            </w:r>
          </w:p>
        </w:tc>
        <w:tc>
          <w:tcPr>
            <w:tcW w:w="1721" w:type="dxa"/>
            <w:tcBorders>
              <w:top w:val="nil"/>
              <w:left w:val="nil"/>
              <w:bottom w:val="nil"/>
              <w:right w:val="nil"/>
            </w:tcBorders>
          </w:tcPr>
          <w:p w14:paraId="12453A8C"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0.129</w:t>
            </w:r>
          </w:p>
        </w:tc>
        <w:tc>
          <w:tcPr>
            <w:tcW w:w="1698" w:type="dxa"/>
            <w:tcBorders>
              <w:top w:val="nil"/>
              <w:left w:val="nil"/>
              <w:bottom w:val="nil"/>
              <w:right w:val="nil"/>
            </w:tcBorders>
          </w:tcPr>
          <w:p w14:paraId="04E3B6D3"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-0.005</w:t>
            </w:r>
          </w:p>
        </w:tc>
        <w:tc>
          <w:tcPr>
            <w:tcW w:w="1678" w:type="dxa"/>
            <w:tcBorders>
              <w:top w:val="nil"/>
              <w:left w:val="nil"/>
              <w:bottom w:val="nil"/>
              <w:right w:val="nil"/>
            </w:tcBorders>
          </w:tcPr>
          <w:p w14:paraId="2EE96557"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-0.016</w:t>
            </w:r>
          </w:p>
        </w:tc>
      </w:tr>
      <w:tr w:rsidR="00E400D4" w14:paraId="3D32B53A" w14:textId="77777777" w:rsidTr="009E6656">
        <w:trPr>
          <w:jc w:val="center"/>
        </w:trPr>
        <w:tc>
          <w:tcPr>
            <w:tcW w:w="3099" w:type="dxa"/>
            <w:tcBorders>
              <w:top w:val="nil"/>
              <w:left w:val="nil"/>
              <w:bottom w:val="nil"/>
              <w:right w:val="nil"/>
            </w:tcBorders>
          </w:tcPr>
          <w:p w14:paraId="48E96387"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p>
        </w:tc>
        <w:tc>
          <w:tcPr>
            <w:tcW w:w="1721" w:type="dxa"/>
            <w:tcBorders>
              <w:top w:val="nil"/>
              <w:left w:val="nil"/>
              <w:bottom w:val="nil"/>
              <w:right w:val="nil"/>
            </w:tcBorders>
          </w:tcPr>
          <w:p w14:paraId="3C9C170C"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(0.80)</w:t>
            </w:r>
          </w:p>
        </w:tc>
        <w:tc>
          <w:tcPr>
            <w:tcW w:w="1698" w:type="dxa"/>
            <w:tcBorders>
              <w:top w:val="nil"/>
              <w:left w:val="nil"/>
              <w:bottom w:val="nil"/>
              <w:right w:val="nil"/>
            </w:tcBorders>
          </w:tcPr>
          <w:p w14:paraId="4B2CFB81"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(-0.26)</w:t>
            </w:r>
          </w:p>
        </w:tc>
        <w:tc>
          <w:tcPr>
            <w:tcW w:w="1678" w:type="dxa"/>
            <w:tcBorders>
              <w:top w:val="nil"/>
              <w:left w:val="nil"/>
              <w:bottom w:val="nil"/>
              <w:right w:val="nil"/>
            </w:tcBorders>
          </w:tcPr>
          <w:p w14:paraId="17B95D08"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(-0.46)</w:t>
            </w:r>
          </w:p>
        </w:tc>
      </w:tr>
      <w:tr w:rsidR="00E400D4" w14:paraId="63D8AD6F" w14:textId="77777777" w:rsidTr="009E6656">
        <w:trPr>
          <w:jc w:val="center"/>
        </w:trPr>
        <w:tc>
          <w:tcPr>
            <w:tcW w:w="3099" w:type="dxa"/>
            <w:tcBorders>
              <w:top w:val="nil"/>
              <w:left w:val="nil"/>
              <w:bottom w:val="nil"/>
              <w:right w:val="nil"/>
            </w:tcBorders>
          </w:tcPr>
          <w:p w14:paraId="5D5F4A2F"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SWITCH*IFRS year</w:t>
            </w:r>
          </w:p>
        </w:tc>
        <w:tc>
          <w:tcPr>
            <w:tcW w:w="1721" w:type="dxa"/>
            <w:tcBorders>
              <w:top w:val="nil"/>
              <w:left w:val="nil"/>
              <w:bottom w:val="nil"/>
              <w:right w:val="nil"/>
            </w:tcBorders>
          </w:tcPr>
          <w:p w14:paraId="2BADDE4B"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0.447**</w:t>
            </w:r>
          </w:p>
        </w:tc>
        <w:tc>
          <w:tcPr>
            <w:tcW w:w="1698" w:type="dxa"/>
            <w:tcBorders>
              <w:top w:val="nil"/>
              <w:left w:val="nil"/>
              <w:bottom w:val="nil"/>
              <w:right w:val="nil"/>
            </w:tcBorders>
          </w:tcPr>
          <w:p w14:paraId="4835A854"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0.038**</w:t>
            </w:r>
          </w:p>
        </w:tc>
        <w:tc>
          <w:tcPr>
            <w:tcW w:w="1678" w:type="dxa"/>
            <w:tcBorders>
              <w:top w:val="nil"/>
              <w:left w:val="nil"/>
              <w:bottom w:val="nil"/>
              <w:right w:val="nil"/>
            </w:tcBorders>
          </w:tcPr>
          <w:p w14:paraId="4D878A7D"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0.034*</w:t>
            </w:r>
          </w:p>
        </w:tc>
      </w:tr>
      <w:tr w:rsidR="00E400D4" w14:paraId="34BC5E83" w14:textId="77777777" w:rsidTr="009E6656">
        <w:trPr>
          <w:jc w:val="center"/>
        </w:trPr>
        <w:tc>
          <w:tcPr>
            <w:tcW w:w="3099" w:type="dxa"/>
            <w:tcBorders>
              <w:top w:val="nil"/>
              <w:left w:val="nil"/>
              <w:bottom w:val="nil"/>
              <w:right w:val="nil"/>
            </w:tcBorders>
          </w:tcPr>
          <w:p w14:paraId="0A8254DE"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p>
        </w:tc>
        <w:tc>
          <w:tcPr>
            <w:tcW w:w="1721" w:type="dxa"/>
            <w:tcBorders>
              <w:top w:val="nil"/>
              <w:left w:val="nil"/>
              <w:bottom w:val="nil"/>
              <w:right w:val="nil"/>
            </w:tcBorders>
          </w:tcPr>
          <w:p w14:paraId="44FE7E72"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(2.29)</w:t>
            </w:r>
          </w:p>
        </w:tc>
        <w:tc>
          <w:tcPr>
            <w:tcW w:w="1698" w:type="dxa"/>
            <w:tcBorders>
              <w:top w:val="nil"/>
              <w:left w:val="nil"/>
              <w:bottom w:val="nil"/>
              <w:right w:val="nil"/>
            </w:tcBorders>
          </w:tcPr>
          <w:p w14:paraId="7245C549"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(2.10)</w:t>
            </w:r>
          </w:p>
        </w:tc>
        <w:tc>
          <w:tcPr>
            <w:tcW w:w="1678" w:type="dxa"/>
            <w:tcBorders>
              <w:top w:val="nil"/>
              <w:left w:val="nil"/>
              <w:bottom w:val="nil"/>
              <w:right w:val="nil"/>
            </w:tcBorders>
          </w:tcPr>
          <w:p w14:paraId="79AE749B"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(1.96)</w:t>
            </w:r>
          </w:p>
        </w:tc>
      </w:tr>
      <w:tr w:rsidR="00E400D4" w14:paraId="0BD27FA8" w14:textId="77777777" w:rsidTr="009E6656">
        <w:trPr>
          <w:jc w:val="center"/>
        </w:trPr>
        <w:tc>
          <w:tcPr>
            <w:tcW w:w="3099" w:type="dxa"/>
            <w:tcBorders>
              <w:top w:val="nil"/>
              <w:left w:val="nil"/>
              <w:bottom w:val="nil"/>
              <w:right w:val="nil"/>
            </w:tcBorders>
          </w:tcPr>
          <w:p w14:paraId="39829956"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SWITCH*IFRS year + 1</w:t>
            </w:r>
          </w:p>
        </w:tc>
        <w:tc>
          <w:tcPr>
            <w:tcW w:w="1721" w:type="dxa"/>
            <w:tcBorders>
              <w:top w:val="nil"/>
              <w:left w:val="nil"/>
              <w:bottom w:val="nil"/>
              <w:right w:val="nil"/>
            </w:tcBorders>
          </w:tcPr>
          <w:p w14:paraId="62415899"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0.295</w:t>
            </w:r>
          </w:p>
        </w:tc>
        <w:tc>
          <w:tcPr>
            <w:tcW w:w="1698" w:type="dxa"/>
            <w:tcBorders>
              <w:top w:val="nil"/>
              <w:left w:val="nil"/>
              <w:bottom w:val="nil"/>
              <w:right w:val="nil"/>
            </w:tcBorders>
          </w:tcPr>
          <w:p w14:paraId="7FF0D60C"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0.003</w:t>
            </w:r>
          </w:p>
        </w:tc>
        <w:tc>
          <w:tcPr>
            <w:tcW w:w="1678" w:type="dxa"/>
            <w:tcBorders>
              <w:top w:val="nil"/>
              <w:left w:val="nil"/>
              <w:bottom w:val="nil"/>
              <w:right w:val="nil"/>
            </w:tcBorders>
          </w:tcPr>
          <w:p w14:paraId="55507CD9"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-0.003</w:t>
            </w:r>
          </w:p>
        </w:tc>
      </w:tr>
      <w:tr w:rsidR="00E400D4" w14:paraId="3240340B" w14:textId="77777777" w:rsidTr="009E6656">
        <w:trPr>
          <w:jc w:val="center"/>
        </w:trPr>
        <w:tc>
          <w:tcPr>
            <w:tcW w:w="3099" w:type="dxa"/>
            <w:tcBorders>
              <w:top w:val="nil"/>
              <w:left w:val="nil"/>
              <w:bottom w:val="nil"/>
              <w:right w:val="nil"/>
            </w:tcBorders>
          </w:tcPr>
          <w:p w14:paraId="2577F5F2"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p>
        </w:tc>
        <w:tc>
          <w:tcPr>
            <w:tcW w:w="1721" w:type="dxa"/>
            <w:tcBorders>
              <w:top w:val="nil"/>
              <w:left w:val="nil"/>
              <w:bottom w:val="nil"/>
              <w:right w:val="nil"/>
            </w:tcBorders>
          </w:tcPr>
          <w:p w14:paraId="06231B4F"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(1.40)</w:t>
            </w:r>
          </w:p>
        </w:tc>
        <w:tc>
          <w:tcPr>
            <w:tcW w:w="1698" w:type="dxa"/>
            <w:tcBorders>
              <w:top w:val="nil"/>
              <w:left w:val="nil"/>
              <w:bottom w:val="nil"/>
              <w:right w:val="nil"/>
            </w:tcBorders>
          </w:tcPr>
          <w:p w14:paraId="0BDB69BD"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(0.17)</w:t>
            </w:r>
          </w:p>
        </w:tc>
        <w:tc>
          <w:tcPr>
            <w:tcW w:w="1678" w:type="dxa"/>
            <w:tcBorders>
              <w:top w:val="nil"/>
              <w:left w:val="nil"/>
              <w:bottom w:val="nil"/>
              <w:right w:val="nil"/>
            </w:tcBorders>
          </w:tcPr>
          <w:p w14:paraId="7B74286F"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(-0.09)</w:t>
            </w:r>
          </w:p>
        </w:tc>
      </w:tr>
      <w:tr w:rsidR="00E400D4" w14:paraId="28BD57D8" w14:textId="77777777" w:rsidTr="009E6656">
        <w:trPr>
          <w:jc w:val="center"/>
        </w:trPr>
        <w:tc>
          <w:tcPr>
            <w:tcW w:w="3099" w:type="dxa"/>
            <w:tcBorders>
              <w:top w:val="nil"/>
              <w:left w:val="nil"/>
              <w:bottom w:val="nil"/>
              <w:right w:val="nil"/>
            </w:tcBorders>
          </w:tcPr>
          <w:p w14:paraId="64195E70"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SWITCH*IFRS year + 2</w:t>
            </w:r>
          </w:p>
        </w:tc>
        <w:tc>
          <w:tcPr>
            <w:tcW w:w="1721" w:type="dxa"/>
            <w:tcBorders>
              <w:top w:val="nil"/>
              <w:left w:val="nil"/>
              <w:bottom w:val="nil"/>
              <w:right w:val="nil"/>
            </w:tcBorders>
          </w:tcPr>
          <w:p w14:paraId="3C48E3BA"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0.272*</w:t>
            </w:r>
          </w:p>
        </w:tc>
        <w:tc>
          <w:tcPr>
            <w:tcW w:w="1698" w:type="dxa"/>
            <w:tcBorders>
              <w:top w:val="nil"/>
              <w:left w:val="nil"/>
              <w:bottom w:val="nil"/>
              <w:right w:val="nil"/>
            </w:tcBorders>
          </w:tcPr>
          <w:p w14:paraId="535525C5"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0.011</w:t>
            </w:r>
          </w:p>
        </w:tc>
        <w:tc>
          <w:tcPr>
            <w:tcW w:w="1678" w:type="dxa"/>
            <w:tcBorders>
              <w:top w:val="nil"/>
              <w:left w:val="nil"/>
              <w:bottom w:val="nil"/>
              <w:right w:val="nil"/>
            </w:tcBorders>
          </w:tcPr>
          <w:p w14:paraId="0496D02F"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0.018</w:t>
            </w:r>
          </w:p>
        </w:tc>
      </w:tr>
      <w:tr w:rsidR="00E400D4" w14:paraId="601E1A62" w14:textId="77777777" w:rsidTr="009E6656">
        <w:trPr>
          <w:jc w:val="center"/>
        </w:trPr>
        <w:tc>
          <w:tcPr>
            <w:tcW w:w="3099" w:type="dxa"/>
            <w:tcBorders>
              <w:top w:val="nil"/>
              <w:left w:val="nil"/>
              <w:bottom w:val="nil"/>
              <w:right w:val="nil"/>
            </w:tcBorders>
          </w:tcPr>
          <w:p w14:paraId="02DFB8DD"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p>
        </w:tc>
        <w:tc>
          <w:tcPr>
            <w:tcW w:w="1721" w:type="dxa"/>
            <w:tcBorders>
              <w:top w:val="nil"/>
              <w:left w:val="nil"/>
              <w:bottom w:val="nil"/>
              <w:right w:val="nil"/>
            </w:tcBorders>
          </w:tcPr>
          <w:p w14:paraId="5BC39D06"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(1.68)</w:t>
            </w:r>
          </w:p>
        </w:tc>
        <w:tc>
          <w:tcPr>
            <w:tcW w:w="1698" w:type="dxa"/>
            <w:tcBorders>
              <w:top w:val="nil"/>
              <w:left w:val="nil"/>
              <w:bottom w:val="nil"/>
              <w:right w:val="nil"/>
            </w:tcBorders>
          </w:tcPr>
          <w:p w14:paraId="7A6BC57F"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1678" w:type="dxa"/>
            <w:tcBorders>
              <w:top w:val="nil"/>
              <w:left w:val="nil"/>
              <w:bottom w:val="nil"/>
              <w:right w:val="nil"/>
            </w:tcBorders>
          </w:tcPr>
          <w:p w14:paraId="13849393"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(1.33)</w:t>
            </w:r>
          </w:p>
        </w:tc>
      </w:tr>
      <w:tr w:rsidR="00E400D4" w14:paraId="4864D58D" w14:textId="77777777" w:rsidTr="009E6656">
        <w:trPr>
          <w:jc w:val="center"/>
        </w:trPr>
        <w:tc>
          <w:tcPr>
            <w:tcW w:w="3099" w:type="dxa"/>
            <w:tcBorders>
              <w:top w:val="nil"/>
              <w:left w:val="nil"/>
              <w:bottom w:val="nil"/>
              <w:right w:val="nil"/>
            </w:tcBorders>
          </w:tcPr>
          <w:p w14:paraId="7DE71357"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SWITCH*IFRS year + 3</w:t>
            </w:r>
          </w:p>
        </w:tc>
        <w:tc>
          <w:tcPr>
            <w:tcW w:w="1721" w:type="dxa"/>
            <w:tcBorders>
              <w:top w:val="nil"/>
              <w:left w:val="nil"/>
              <w:bottom w:val="nil"/>
              <w:right w:val="nil"/>
            </w:tcBorders>
          </w:tcPr>
          <w:p w14:paraId="24DDE678"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0.196</w:t>
            </w:r>
          </w:p>
        </w:tc>
        <w:tc>
          <w:tcPr>
            <w:tcW w:w="1698" w:type="dxa"/>
            <w:tcBorders>
              <w:top w:val="nil"/>
              <w:left w:val="nil"/>
              <w:bottom w:val="nil"/>
              <w:right w:val="nil"/>
            </w:tcBorders>
          </w:tcPr>
          <w:p w14:paraId="6FDF58CA"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0.018</w:t>
            </w:r>
          </w:p>
        </w:tc>
        <w:tc>
          <w:tcPr>
            <w:tcW w:w="1678" w:type="dxa"/>
            <w:tcBorders>
              <w:top w:val="nil"/>
              <w:left w:val="nil"/>
              <w:bottom w:val="nil"/>
              <w:right w:val="nil"/>
            </w:tcBorders>
          </w:tcPr>
          <w:p w14:paraId="665E3D5C"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0.018</w:t>
            </w:r>
          </w:p>
        </w:tc>
      </w:tr>
      <w:tr w:rsidR="00E400D4" w14:paraId="52C0AB6E" w14:textId="77777777" w:rsidTr="009E6656">
        <w:trPr>
          <w:jc w:val="center"/>
        </w:trPr>
        <w:tc>
          <w:tcPr>
            <w:tcW w:w="3099" w:type="dxa"/>
            <w:tcBorders>
              <w:top w:val="nil"/>
              <w:left w:val="nil"/>
              <w:bottom w:val="nil"/>
              <w:right w:val="nil"/>
            </w:tcBorders>
          </w:tcPr>
          <w:p w14:paraId="5F6167F9"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p>
        </w:tc>
        <w:tc>
          <w:tcPr>
            <w:tcW w:w="1721" w:type="dxa"/>
            <w:tcBorders>
              <w:top w:val="nil"/>
              <w:left w:val="nil"/>
              <w:bottom w:val="nil"/>
              <w:right w:val="nil"/>
            </w:tcBorders>
          </w:tcPr>
          <w:p w14:paraId="36DEAEEC"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(1.23)</w:t>
            </w:r>
          </w:p>
        </w:tc>
        <w:tc>
          <w:tcPr>
            <w:tcW w:w="1698" w:type="dxa"/>
            <w:tcBorders>
              <w:top w:val="nil"/>
              <w:left w:val="nil"/>
              <w:bottom w:val="nil"/>
              <w:right w:val="nil"/>
            </w:tcBorders>
          </w:tcPr>
          <w:p w14:paraId="17E96A0E"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(1.64)</w:t>
            </w:r>
          </w:p>
        </w:tc>
        <w:tc>
          <w:tcPr>
            <w:tcW w:w="1678" w:type="dxa"/>
            <w:tcBorders>
              <w:top w:val="nil"/>
              <w:left w:val="nil"/>
              <w:bottom w:val="nil"/>
              <w:right w:val="nil"/>
            </w:tcBorders>
          </w:tcPr>
          <w:p w14:paraId="70965826"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(0.90)</w:t>
            </w:r>
          </w:p>
        </w:tc>
      </w:tr>
      <w:tr w:rsidR="00E400D4" w14:paraId="72C776D0" w14:textId="77777777" w:rsidTr="009E6656">
        <w:trPr>
          <w:jc w:val="center"/>
        </w:trPr>
        <w:tc>
          <w:tcPr>
            <w:tcW w:w="3099" w:type="dxa"/>
            <w:tcBorders>
              <w:top w:val="nil"/>
              <w:left w:val="nil"/>
              <w:bottom w:val="nil"/>
              <w:right w:val="nil"/>
            </w:tcBorders>
          </w:tcPr>
          <w:p w14:paraId="447D7E17"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MVE</w:t>
            </w:r>
          </w:p>
        </w:tc>
        <w:tc>
          <w:tcPr>
            <w:tcW w:w="1721" w:type="dxa"/>
            <w:tcBorders>
              <w:top w:val="nil"/>
              <w:left w:val="nil"/>
              <w:bottom w:val="nil"/>
              <w:right w:val="nil"/>
            </w:tcBorders>
          </w:tcPr>
          <w:p w14:paraId="1D5B1E1C"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0.224***</w:t>
            </w:r>
          </w:p>
        </w:tc>
        <w:tc>
          <w:tcPr>
            <w:tcW w:w="1698" w:type="dxa"/>
            <w:tcBorders>
              <w:top w:val="nil"/>
              <w:left w:val="nil"/>
              <w:bottom w:val="nil"/>
              <w:right w:val="nil"/>
            </w:tcBorders>
          </w:tcPr>
          <w:p w14:paraId="4B9EE546"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0.003</w:t>
            </w:r>
          </w:p>
        </w:tc>
        <w:tc>
          <w:tcPr>
            <w:tcW w:w="1678" w:type="dxa"/>
            <w:tcBorders>
              <w:top w:val="nil"/>
              <w:left w:val="nil"/>
              <w:bottom w:val="nil"/>
              <w:right w:val="nil"/>
            </w:tcBorders>
          </w:tcPr>
          <w:p w14:paraId="29CE84C0"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0.009*</w:t>
            </w:r>
          </w:p>
        </w:tc>
      </w:tr>
      <w:tr w:rsidR="00E400D4" w14:paraId="455E7FDF" w14:textId="77777777" w:rsidTr="009E6656">
        <w:trPr>
          <w:jc w:val="center"/>
        </w:trPr>
        <w:tc>
          <w:tcPr>
            <w:tcW w:w="3099" w:type="dxa"/>
            <w:tcBorders>
              <w:top w:val="nil"/>
              <w:left w:val="nil"/>
              <w:bottom w:val="nil"/>
              <w:right w:val="nil"/>
            </w:tcBorders>
          </w:tcPr>
          <w:p w14:paraId="69260B30"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p>
        </w:tc>
        <w:tc>
          <w:tcPr>
            <w:tcW w:w="1721" w:type="dxa"/>
            <w:tcBorders>
              <w:top w:val="nil"/>
              <w:left w:val="nil"/>
              <w:bottom w:val="nil"/>
              <w:right w:val="nil"/>
            </w:tcBorders>
          </w:tcPr>
          <w:p w14:paraId="73881391"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(4.32)</w:t>
            </w:r>
          </w:p>
        </w:tc>
        <w:tc>
          <w:tcPr>
            <w:tcW w:w="1698" w:type="dxa"/>
            <w:tcBorders>
              <w:top w:val="nil"/>
              <w:left w:val="nil"/>
              <w:bottom w:val="nil"/>
              <w:right w:val="nil"/>
            </w:tcBorders>
          </w:tcPr>
          <w:p w14:paraId="4663876E"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(1.21)</w:t>
            </w:r>
          </w:p>
        </w:tc>
        <w:tc>
          <w:tcPr>
            <w:tcW w:w="1678" w:type="dxa"/>
            <w:tcBorders>
              <w:top w:val="nil"/>
              <w:left w:val="nil"/>
              <w:bottom w:val="nil"/>
              <w:right w:val="nil"/>
            </w:tcBorders>
          </w:tcPr>
          <w:p w14:paraId="734F5436"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(1.77)</w:t>
            </w:r>
          </w:p>
        </w:tc>
      </w:tr>
      <w:tr w:rsidR="00E400D4" w14:paraId="5B5EA10E" w14:textId="77777777" w:rsidTr="009E6656">
        <w:trPr>
          <w:jc w:val="center"/>
        </w:trPr>
        <w:tc>
          <w:tcPr>
            <w:tcW w:w="3099" w:type="dxa"/>
            <w:tcBorders>
              <w:top w:val="nil"/>
              <w:left w:val="nil"/>
              <w:bottom w:val="nil"/>
              <w:right w:val="nil"/>
            </w:tcBorders>
          </w:tcPr>
          <w:p w14:paraId="555C6959" w14:textId="10B0DCFE"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TOBIN</w:t>
            </w:r>
            <w:r w:rsidR="004E3FB1">
              <w:rPr>
                <w:rFonts w:ascii="Times New Roman" w:hAnsi="Times New Roman" w:cs="Times New Roman"/>
                <w:sz w:val="24"/>
                <w:szCs w:val="24"/>
              </w:rPr>
              <w:t>’s</w:t>
            </w:r>
            <w:r>
              <w:rPr>
                <w:rFonts w:ascii="Times New Roman" w:hAnsi="Times New Roman" w:cs="Times New Roman"/>
                <w:sz w:val="24"/>
                <w:szCs w:val="24"/>
              </w:rPr>
              <w:t xml:space="preserve"> Q</w:t>
            </w:r>
          </w:p>
        </w:tc>
        <w:tc>
          <w:tcPr>
            <w:tcW w:w="1721" w:type="dxa"/>
            <w:tcBorders>
              <w:top w:val="nil"/>
              <w:left w:val="nil"/>
              <w:bottom w:val="nil"/>
              <w:right w:val="nil"/>
            </w:tcBorders>
          </w:tcPr>
          <w:p w14:paraId="55426548"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-0.010</w:t>
            </w:r>
          </w:p>
        </w:tc>
        <w:tc>
          <w:tcPr>
            <w:tcW w:w="1698" w:type="dxa"/>
            <w:tcBorders>
              <w:top w:val="nil"/>
              <w:left w:val="nil"/>
              <w:bottom w:val="nil"/>
              <w:right w:val="nil"/>
            </w:tcBorders>
          </w:tcPr>
          <w:p w14:paraId="6F344ED9"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w:t>
            </w:r>
          </w:p>
        </w:tc>
        <w:tc>
          <w:tcPr>
            <w:tcW w:w="1678" w:type="dxa"/>
            <w:tcBorders>
              <w:top w:val="nil"/>
              <w:left w:val="nil"/>
              <w:bottom w:val="nil"/>
              <w:right w:val="nil"/>
            </w:tcBorders>
          </w:tcPr>
          <w:p w14:paraId="44C1D6EA"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w:t>
            </w:r>
          </w:p>
        </w:tc>
      </w:tr>
      <w:tr w:rsidR="00E400D4" w14:paraId="6AF073A1" w14:textId="77777777" w:rsidTr="009E6656">
        <w:trPr>
          <w:jc w:val="center"/>
        </w:trPr>
        <w:tc>
          <w:tcPr>
            <w:tcW w:w="3099" w:type="dxa"/>
            <w:tcBorders>
              <w:top w:val="nil"/>
              <w:left w:val="nil"/>
              <w:bottom w:val="nil"/>
              <w:right w:val="nil"/>
            </w:tcBorders>
          </w:tcPr>
          <w:p w14:paraId="58556BF4"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p>
        </w:tc>
        <w:tc>
          <w:tcPr>
            <w:tcW w:w="1721" w:type="dxa"/>
            <w:tcBorders>
              <w:top w:val="nil"/>
              <w:left w:val="nil"/>
              <w:bottom w:val="nil"/>
              <w:right w:val="nil"/>
            </w:tcBorders>
          </w:tcPr>
          <w:p w14:paraId="601B4F9F"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(-0.86)</w:t>
            </w:r>
          </w:p>
        </w:tc>
        <w:tc>
          <w:tcPr>
            <w:tcW w:w="1698" w:type="dxa"/>
            <w:tcBorders>
              <w:top w:val="nil"/>
              <w:left w:val="nil"/>
              <w:bottom w:val="nil"/>
              <w:right w:val="nil"/>
            </w:tcBorders>
          </w:tcPr>
          <w:p w14:paraId="12CA7AC1"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(0.42)</w:t>
            </w:r>
          </w:p>
        </w:tc>
        <w:tc>
          <w:tcPr>
            <w:tcW w:w="1678" w:type="dxa"/>
            <w:tcBorders>
              <w:top w:val="nil"/>
              <w:left w:val="nil"/>
              <w:bottom w:val="nil"/>
              <w:right w:val="nil"/>
            </w:tcBorders>
          </w:tcPr>
          <w:p w14:paraId="7CD3F87B"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(0.11)</w:t>
            </w:r>
          </w:p>
        </w:tc>
      </w:tr>
      <w:tr w:rsidR="00E400D4" w14:paraId="34465D25" w14:textId="77777777" w:rsidTr="009E6656">
        <w:trPr>
          <w:jc w:val="center"/>
        </w:trPr>
        <w:tc>
          <w:tcPr>
            <w:tcW w:w="3099" w:type="dxa"/>
            <w:tcBorders>
              <w:top w:val="nil"/>
              <w:left w:val="nil"/>
              <w:bottom w:val="nil"/>
              <w:right w:val="nil"/>
            </w:tcBorders>
          </w:tcPr>
          <w:p w14:paraId="2590C586"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GROWTH</w:t>
            </w:r>
          </w:p>
        </w:tc>
        <w:tc>
          <w:tcPr>
            <w:tcW w:w="1721" w:type="dxa"/>
            <w:tcBorders>
              <w:top w:val="nil"/>
              <w:left w:val="nil"/>
              <w:bottom w:val="nil"/>
              <w:right w:val="nil"/>
            </w:tcBorders>
          </w:tcPr>
          <w:p w14:paraId="3DF67E05"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0.496</w:t>
            </w:r>
          </w:p>
        </w:tc>
        <w:tc>
          <w:tcPr>
            <w:tcW w:w="1698" w:type="dxa"/>
            <w:tcBorders>
              <w:top w:val="nil"/>
              <w:left w:val="nil"/>
              <w:bottom w:val="nil"/>
              <w:right w:val="nil"/>
            </w:tcBorders>
          </w:tcPr>
          <w:p w14:paraId="344D6593"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0.055*</w:t>
            </w:r>
          </w:p>
        </w:tc>
        <w:tc>
          <w:tcPr>
            <w:tcW w:w="1678" w:type="dxa"/>
            <w:tcBorders>
              <w:top w:val="nil"/>
              <w:left w:val="nil"/>
              <w:bottom w:val="nil"/>
              <w:right w:val="nil"/>
            </w:tcBorders>
          </w:tcPr>
          <w:p w14:paraId="183E977D"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0.041</w:t>
            </w:r>
          </w:p>
        </w:tc>
      </w:tr>
      <w:tr w:rsidR="00E400D4" w14:paraId="6AA43B1C" w14:textId="77777777" w:rsidTr="009E6656">
        <w:trPr>
          <w:jc w:val="center"/>
        </w:trPr>
        <w:tc>
          <w:tcPr>
            <w:tcW w:w="3099" w:type="dxa"/>
            <w:tcBorders>
              <w:top w:val="nil"/>
              <w:left w:val="nil"/>
              <w:bottom w:val="nil"/>
              <w:right w:val="nil"/>
            </w:tcBorders>
          </w:tcPr>
          <w:p w14:paraId="0A7019E7"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p>
        </w:tc>
        <w:tc>
          <w:tcPr>
            <w:tcW w:w="1721" w:type="dxa"/>
            <w:tcBorders>
              <w:top w:val="nil"/>
              <w:left w:val="nil"/>
              <w:bottom w:val="nil"/>
              <w:right w:val="nil"/>
            </w:tcBorders>
          </w:tcPr>
          <w:p w14:paraId="099E7502"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(1.54)</w:t>
            </w:r>
          </w:p>
        </w:tc>
        <w:tc>
          <w:tcPr>
            <w:tcW w:w="1698" w:type="dxa"/>
            <w:tcBorders>
              <w:top w:val="nil"/>
              <w:left w:val="nil"/>
              <w:bottom w:val="nil"/>
              <w:right w:val="nil"/>
            </w:tcBorders>
          </w:tcPr>
          <w:p w14:paraId="1EFB8926"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(1.78)</w:t>
            </w:r>
          </w:p>
        </w:tc>
        <w:tc>
          <w:tcPr>
            <w:tcW w:w="1678" w:type="dxa"/>
            <w:tcBorders>
              <w:top w:val="nil"/>
              <w:left w:val="nil"/>
              <w:bottom w:val="nil"/>
              <w:right w:val="nil"/>
            </w:tcBorders>
          </w:tcPr>
          <w:p w14:paraId="32C92BDB"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(0.89)</w:t>
            </w:r>
          </w:p>
        </w:tc>
      </w:tr>
      <w:tr w:rsidR="00E400D4" w14:paraId="03EE6C86" w14:textId="77777777" w:rsidTr="009E6656">
        <w:trPr>
          <w:jc w:val="center"/>
        </w:trPr>
        <w:tc>
          <w:tcPr>
            <w:tcW w:w="3099" w:type="dxa"/>
            <w:tcBorders>
              <w:top w:val="nil"/>
              <w:left w:val="nil"/>
              <w:bottom w:val="nil"/>
              <w:right w:val="nil"/>
            </w:tcBorders>
          </w:tcPr>
          <w:p w14:paraId="397C971C"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LEVERAGE</w:t>
            </w:r>
          </w:p>
        </w:tc>
        <w:tc>
          <w:tcPr>
            <w:tcW w:w="1721" w:type="dxa"/>
            <w:tcBorders>
              <w:top w:val="nil"/>
              <w:left w:val="nil"/>
              <w:bottom w:val="nil"/>
              <w:right w:val="nil"/>
            </w:tcBorders>
          </w:tcPr>
          <w:p w14:paraId="7BBDE343"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-2.661**</w:t>
            </w:r>
          </w:p>
        </w:tc>
        <w:tc>
          <w:tcPr>
            <w:tcW w:w="1698" w:type="dxa"/>
            <w:tcBorders>
              <w:top w:val="nil"/>
              <w:left w:val="nil"/>
              <w:bottom w:val="nil"/>
              <w:right w:val="nil"/>
            </w:tcBorders>
          </w:tcPr>
          <w:p w14:paraId="3EC4763A"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-0.254**</w:t>
            </w:r>
          </w:p>
        </w:tc>
        <w:tc>
          <w:tcPr>
            <w:tcW w:w="1678" w:type="dxa"/>
            <w:tcBorders>
              <w:top w:val="nil"/>
              <w:left w:val="nil"/>
              <w:bottom w:val="nil"/>
              <w:right w:val="nil"/>
            </w:tcBorders>
          </w:tcPr>
          <w:p w14:paraId="11F876B3"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-0.144</w:t>
            </w:r>
          </w:p>
        </w:tc>
      </w:tr>
      <w:tr w:rsidR="00E400D4" w14:paraId="6649B391" w14:textId="77777777" w:rsidTr="009E6656">
        <w:trPr>
          <w:jc w:val="center"/>
        </w:trPr>
        <w:tc>
          <w:tcPr>
            <w:tcW w:w="3099" w:type="dxa"/>
            <w:tcBorders>
              <w:top w:val="nil"/>
              <w:left w:val="nil"/>
              <w:bottom w:val="nil"/>
              <w:right w:val="nil"/>
            </w:tcBorders>
          </w:tcPr>
          <w:p w14:paraId="6CC60CB2"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p>
        </w:tc>
        <w:tc>
          <w:tcPr>
            <w:tcW w:w="1721" w:type="dxa"/>
            <w:tcBorders>
              <w:top w:val="nil"/>
              <w:left w:val="nil"/>
              <w:bottom w:val="nil"/>
              <w:right w:val="nil"/>
            </w:tcBorders>
          </w:tcPr>
          <w:p w14:paraId="04E1F577"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(-2.20)</w:t>
            </w:r>
          </w:p>
        </w:tc>
        <w:tc>
          <w:tcPr>
            <w:tcW w:w="1698" w:type="dxa"/>
            <w:tcBorders>
              <w:top w:val="nil"/>
              <w:left w:val="nil"/>
              <w:bottom w:val="nil"/>
              <w:right w:val="nil"/>
            </w:tcBorders>
          </w:tcPr>
          <w:p w14:paraId="6B927FD0"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(-2.20)</w:t>
            </w:r>
          </w:p>
        </w:tc>
        <w:tc>
          <w:tcPr>
            <w:tcW w:w="1678" w:type="dxa"/>
            <w:tcBorders>
              <w:top w:val="nil"/>
              <w:left w:val="nil"/>
              <w:bottom w:val="nil"/>
              <w:right w:val="nil"/>
            </w:tcBorders>
          </w:tcPr>
          <w:p w14:paraId="6E3E477F"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(-0.88)</w:t>
            </w:r>
          </w:p>
        </w:tc>
      </w:tr>
      <w:tr w:rsidR="00E400D4" w14:paraId="204C8797" w14:textId="77777777" w:rsidTr="009E6656">
        <w:trPr>
          <w:jc w:val="center"/>
        </w:trPr>
        <w:tc>
          <w:tcPr>
            <w:tcW w:w="3099" w:type="dxa"/>
            <w:tcBorders>
              <w:top w:val="nil"/>
              <w:left w:val="nil"/>
              <w:bottom w:val="nil"/>
              <w:right w:val="nil"/>
            </w:tcBorders>
          </w:tcPr>
          <w:p w14:paraId="347AB930"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CFO</w:t>
            </w:r>
          </w:p>
        </w:tc>
        <w:tc>
          <w:tcPr>
            <w:tcW w:w="1721" w:type="dxa"/>
            <w:tcBorders>
              <w:top w:val="nil"/>
              <w:left w:val="nil"/>
              <w:bottom w:val="nil"/>
              <w:right w:val="nil"/>
            </w:tcBorders>
          </w:tcPr>
          <w:p w14:paraId="631F3569"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-1.609</w:t>
            </w:r>
          </w:p>
        </w:tc>
        <w:tc>
          <w:tcPr>
            <w:tcW w:w="1698" w:type="dxa"/>
            <w:tcBorders>
              <w:top w:val="nil"/>
              <w:left w:val="nil"/>
              <w:bottom w:val="nil"/>
              <w:right w:val="nil"/>
            </w:tcBorders>
          </w:tcPr>
          <w:p w14:paraId="3F50E838"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0.082</w:t>
            </w:r>
          </w:p>
        </w:tc>
        <w:tc>
          <w:tcPr>
            <w:tcW w:w="1678" w:type="dxa"/>
            <w:tcBorders>
              <w:top w:val="nil"/>
              <w:left w:val="nil"/>
              <w:bottom w:val="nil"/>
              <w:right w:val="nil"/>
            </w:tcBorders>
          </w:tcPr>
          <w:p w14:paraId="1DE9757A"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0.004</w:t>
            </w:r>
          </w:p>
        </w:tc>
      </w:tr>
      <w:tr w:rsidR="00E400D4" w14:paraId="47FEF065" w14:textId="77777777" w:rsidTr="009E6656">
        <w:trPr>
          <w:jc w:val="center"/>
        </w:trPr>
        <w:tc>
          <w:tcPr>
            <w:tcW w:w="3099" w:type="dxa"/>
            <w:tcBorders>
              <w:top w:val="nil"/>
              <w:left w:val="nil"/>
              <w:bottom w:val="nil"/>
              <w:right w:val="nil"/>
            </w:tcBorders>
          </w:tcPr>
          <w:p w14:paraId="32FA5D29"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p>
        </w:tc>
        <w:tc>
          <w:tcPr>
            <w:tcW w:w="1721" w:type="dxa"/>
            <w:tcBorders>
              <w:top w:val="nil"/>
              <w:left w:val="nil"/>
              <w:bottom w:val="nil"/>
              <w:right w:val="nil"/>
            </w:tcBorders>
          </w:tcPr>
          <w:p w14:paraId="49D4B54D"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(-1.29)</w:t>
            </w:r>
          </w:p>
        </w:tc>
        <w:tc>
          <w:tcPr>
            <w:tcW w:w="1698" w:type="dxa"/>
            <w:tcBorders>
              <w:top w:val="nil"/>
              <w:left w:val="nil"/>
              <w:bottom w:val="nil"/>
              <w:right w:val="nil"/>
            </w:tcBorders>
          </w:tcPr>
          <w:p w14:paraId="003C28C9"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(0.49)</w:t>
            </w:r>
          </w:p>
        </w:tc>
        <w:tc>
          <w:tcPr>
            <w:tcW w:w="1678" w:type="dxa"/>
            <w:tcBorders>
              <w:top w:val="nil"/>
              <w:left w:val="nil"/>
              <w:bottom w:val="nil"/>
              <w:right w:val="nil"/>
            </w:tcBorders>
          </w:tcPr>
          <w:p w14:paraId="1EF56A62"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w:t>
            </w:r>
          </w:p>
        </w:tc>
      </w:tr>
      <w:tr w:rsidR="00E400D4" w14:paraId="291BB63E" w14:textId="77777777" w:rsidTr="009E6656">
        <w:trPr>
          <w:jc w:val="center"/>
        </w:trPr>
        <w:tc>
          <w:tcPr>
            <w:tcW w:w="3099" w:type="dxa"/>
            <w:tcBorders>
              <w:top w:val="nil"/>
              <w:left w:val="nil"/>
              <w:bottom w:val="nil"/>
              <w:right w:val="nil"/>
            </w:tcBorders>
          </w:tcPr>
          <w:p w14:paraId="1A591CCC"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CASHEQ</w:t>
            </w:r>
          </w:p>
        </w:tc>
        <w:tc>
          <w:tcPr>
            <w:tcW w:w="1721" w:type="dxa"/>
            <w:tcBorders>
              <w:top w:val="nil"/>
              <w:left w:val="nil"/>
              <w:bottom w:val="nil"/>
              <w:right w:val="nil"/>
            </w:tcBorders>
          </w:tcPr>
          <w:p w14:paraId="67B28A3C"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-1.974</w:t>
            </w:r>
          </w:p>
        </w:tc>
        <w:tc>
          <w:tcPr>
            <w:tcW w:w="1698" w:type="dxa"/>
            <w:tcBorders>
              <w:top w:val="nil"/>
              <w:left w:val="nil"/>
              <w:bottom w:val="nil"/>
              <w:right w:val="nil"/>
            </w:tcBorders>
          </w:tcPr>
          <w:p w14:paraId="476E0E9E"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-0.059</w:t>
            </w:r>
          </w:p>
        </w:tc>
        <w:tc>
          <w:tcPr>
            <w:tcW w:w="1678" w:type="dxa"/>
            <w:tcBorders>
              <w:top w:val="nil"/>
              <w:left w:val="nil"/>
              <w:bottom w:val="nil"/>
              <w:right w:val="nil"/>
            </w:tcBorders>
          </w:tcPr>
          <w:p w14:paraId="64338FAC"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w:t>
            </w:r>
          </w:p>
        </w:tc>
      </w:tr>
      <w:tr w:rsidR="00E400D4" w14:paraId="2BA41740" w14:textId="77777777" w:rsidTr="009E6656">
        <w:trPr>
          <w:jc w:val="center"/>
        </w:trPr>
        <w:tc>
          <w:tcPr>
            <w:tcW w:w="3099" w:type="dxa"/>
            <w:tcBorders>
              <w:top w:val="nil"/>
              <w:left w:val="nil"/>
              <w:bottom w:val="nil"/>
              <w:right w:val="nil"/>
            </w:tcBorders>
          </w:tcPr>
          <w:p w14:paraId="272B2C8F"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p>
        </w:tc>
        <w:tc>
          <w:tcPr>
            <w:tcW w:w="1721" w:type="dxa"/>
            <w:tcBorders>
              <w:top w:val="nil"/>
              <w:left w:val="nil"/>
              <w:bottom w:val="nil"/>
              <w:right w:val="nil"/>
            </w:tcBorders>
          </w:tcPr>
          <w:p w14:paraId="3E594117"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(-1.59)</w:t>
            </w:r>
          </w:p>
        </w:tc>
        <w:tc>
          <w:tcPr>
            <w:tcW w:w="1698" w:type="dxa"/>
            <w:tcBorders>
              <w:top w:val="nil"/>
              <w:left w:val="nil"/>
              <w:bottom w:val="nil"/>
              <w:right w:val="nil"/>
            </w:tcBorders>
          </w:tcPr>
          <w:p w14:paraId="0122F2B7"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(-0.72)</w:t>
            </w:r>
          </w:p>
        </w:tc>
        <w:tc>
          <w:tcPr>
            <w:tcW w:w="1678" w:type="dxa"/>
            <w:tcBorders>
              <w:top w:val="nil"/>
              <w:left w:val="nil"/>
              <w:bottom w:val="nil"/>
              <w:right w:val="nil"/>
            </w:tcBorders>
          </w:tcPr>
          <w:p w14:paraId="34C6046A"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w:t>
            </w:r>
          </w:p>
        </w:tc>
      </w:tr>
      <w:tr w:rsidR="00E400D4" w14:paraId="51D873F0" w14:textId="77777777" w:rsidTr="009E6656">
        <w:trPr>
          <w:jc w:val="center"/>
        </w:trPr>
        <w:tc>
          <w:tcPr>
            <w:tcW w:w="3099" w:type="dxa"/>
            <w:tcBorders>
              <w:top w:val="nil"/>
              <w:left w:val="nil"/>
              <w:bottom w:val="nil"/>
              <w:right w:val="nil"/>
            </w:tcBorders>
          </w:tcPr>
          <w:p w14:paraId="511CAED4"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LEASES*POST</w:t>
            </w:r>
          </w:p>
        </w:tc>
        <w:tc>
          <w:tcPr>
            <w:tcW w:w="1721" w:type="dxa"/>
            <w:tcBorders>
              <w:top w:val="nil"/>
              <w:left w:val="nil"/>
              <w:bottom w:val="nil"/>
              <w:right w:val="nil"/>
            </w:tcBorders>
          </w:tcPr>
          <w:p w14:paraId="546BE287"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-0.013</w:t>
            </w:r>
          </w:p>
        </w:tc>
        <w:tc>
          <w:tcPr>
            <w:tcW w:w="1698" w:type="dxa"/>
            <w:tcBorders>
              <w:top w:val="nil"/>
              <w:left w:val="nil"/>
              <w:bottom w:val="nil"/>
              <w:right w:val="nil"/>
            </w:tcBorders>
          </w:tcPr>
          <w:p w14:paraId="49DE3F97"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w:t>
            </w:r>
          </w:p>
        </w:tc>
        <w:tc>
          <w:tcPr>
            <w:tcW w:w="1678" w:type="dxa"/>
            <w:tcBorders>
              <w:top w:val="nil"/>
              <w:left w:val="nil"/>
              <w:bottom w:val="nil"/>
              <w:right w:val="nil"/>
            </w:tcBorders>
          </w:tcPr>
          <w:p w14:paraId="6E3A68EE"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-0.006</w:t>
            </w:r>
          </w:p>
        </w:tc>
      </w:tr>
      <w:tr w:rsidR="00E400D4" w14:paraId="5BD63994" w14:textId="77777777" w:rsidTr="009E6656">
        <w:trPr>
          <w:jc w:val="center"/>
        </w:trPr>
        <w:tc>
          <w:tcPr>
            <w:tcW w:w="3099" w:type="dxa"/>
            <w:tcBorders>
              <w:top w:val="nil"/>
              <w:left w:val="nil"/>
              <w:bottom w:val="nil"/>
              <w:right w:val="nil"/>
            </w:tcBorders>
          </w:tcPr>
          <w:p w14:paraId="77E4933A"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p>
        </w:tc>
        <w:tc>
          <w:tcPr>
            <w:tcW w:w="1721" w:type="dxa"/>
            <w:tcBorders>
              <w:top w:val="nil"/>
              <w:left w:val="nil"/>
              <w:bottom w:val="nil"/>
              <w:right w:val="nil"/>
            </w:tcBorders>
          </w:tcPr>
          <w:p w14:paraId="16F11E7F"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(-0.20)</w:t>
            </w:r>
          </w:p>
        </w:tc>
        <w:tc>
          <w:tcPr>
            <w:tcW w:w="1698" w:type="dxa"/>
            <w:tcBorders>
              <w:top w:val="nil"/>
              <w:left w:val="nil"/>
              <w:bottom w:val="nil"/>
              <w:right w:val="nil"/>
            </w:tcBorders>
          </w:tcPr>
          <w:p w14:paraId="3B2B9C85"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(0.19)</w:t>
            </w:r>
          </w:p>
        </w:tc>
        <w:tc>
          <w:tcPr>
            <w:tcW w:w="1678" w:type="dxa"/>
            <w:tcBorders>
              <w:top w:val="nil"/>
              <w:left w:val="nil"/>
              <w:bottom w:val="nil"/>
              <w:right w:val="nil"/>
            </w:tcBorders>
          </w:tcPr>
          <w:p w14:paraId="13205E81"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(-0.94)</w:t>
            </w:r>
          </w:p>
        </w:tc>
      </w:tr>
      <w:tr w:rsidR="00E400D4" w14:paraId="2EBFB342" w14:textId="77777777" w:rsidTr="009E6656">
        <w:trPr>
          <w:jc w:val="center"/>
        </w:trPr>
        <w:tc>
          <w:tcPr>
            <w:tcW w:w="3099" w:type="dxa"/>
            <w:tcBorders>
              <w:top w:val="nil"/>
              <w:left w:val="nil"/>
              <w:bottom w:val="nil"/>
              <w:right w:val="nil"/>
            </w:tcBorders>
          </w:tcPr>
          <w:p w14:paraId="446BBDE1"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PENSIONS*POST</w:t>
            </w:r>
          </w:p>
        </w:tc>
        <w:tc>
          <w:tcPr>
            <w:tcW w:w="1721" w:type="dxa"/>
            <w:tcBorders>
              <w:top w:val="nil"/>
              <w:left w:val="nil"/>
              <w:bottom w:val="nil"/>
              <w:right w:val="nil"/>
            </w:tcBorders>
          </w:tcPr>
          <w:p w14:paraId="746035C7"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0.174*</w:t>
            </w:r>
          </w:p>
        </w:tc>
        <w:tc>
          <w:tcPr>
            <w:tcW w:w="1698" w:type="dxa"/>
            <w:tcBorders>
              <w:top w:val="nil"/>
              <w:left w:val="nil"/>
              <w:bottom w:val="nil"/>
              <w:right w:val="nil"/>
            </w:tcBorders>
          </w:tcPr>
          <w:p w14:paraId="29FC19B7"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0.008</w:t>
            </w:r>
          </w:p>
        </w:tc>
        <w:tc>
          <w:tcPr>
            <w:tcW w:w="1678" w:type="dxa"/>
            <w:tcBorders>
              <w:top w:val="nil"/>
              <w:left w:val="nil"/>
              <w:bottom w:val="nil"/>
              <w:right w:val="nil"/>
            </w:tcBorders>
          </w:tcPr>
          <w:p w14:paraId="47735639"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0.007</w:t>
            </w:r>
          </w:p>
        </w:tc>
      </w:tr>
      <w:tr w:rsidR="00E400D4" w14:paraId="786088BF" w14:textId="77777777" w:rsidTr="009E6656">
        <w:trPr>
          <w:jc w:val="center"/>
        </w:trPr>
        <w:tc>
          <w:tcPr>
            <w:tcW w:w="3099" w:type="dxa"/>
            <w:tcBorders>
              <w:top w:val="nil"/>
              <w:left w:val="nil"/>
              <w:bottom w:val="nil"/>
              <w:right w:val="nil"/>
            </w:tcBorders>
          </w:tcPr>
          <w:p w14:paraId="0B4CA9B2"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p>
        </w:tc>
        <w:tc>
          <w:tcPr>
            <w:tcW w:w="1721" w:type="dxa"/>
            <w:tcBorders>
              <w:top w:val="nil"/>
              <w:left w:val="nil"/>
              <w:bottom w:val="nil"/>
              <w:right w:val="nil"/>
            </w:tcBorders>
          </w:tcPr>
          <w:p w14:paraId="1716C66B"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(1.85)</w:t>
            </w:r>
          </w:p>
        </w:tc>
        <w:tc>
          <w:tcPr>
            <w:tcW w:w="1698" w:type="dxa"/>
            <w:tcBorders>
              <w:top w:val="nil"/>
              <w:left w:val="nil"/>
              <w:bottom w:val="nil"/>
              <w:right w:val="nil"/>
            </w:tcBorders>
          </w:tcPr>
          <w:p w14:paraId="5FC6A58D"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(0.90)</w:t>
            </w:r>
          </w:p>
        </w:tc>
        <w:tc>
          <w:tcPr>
            <w:tcW w:w="1678" w:type="dxa"/>
            <w:tcBorders>
              <w:top w:val="nil"/>
              <w:left w:val="nil"/>
              <w:bottom w:val="nil"/>
              <w:right w:val="nil"/>
            </w:tcBorders>
          </w:tcPr>
          <w:p w14:paraId="62C9F247"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(0.70)</w:t>
            </w:r>
          </w:p>
        </w:tc>
      </w:tr>
      <w:tr w:rsidR="00E400D4" w14:paraId="2D6262A1" w14:textId="77777777" w:rsidTr="009E6656">
        <w:trPr>
          <w:jc w:val="center"/>
        </w:trPr>
        <w:tc>
          <w:tcPr>
            <w:tcW w:w="3099" w:type="dxa"/>
            <w:tcBorders>
              <w:top w:val="nil"/>
              <w:left w:val="nil"/>
              <w:bottom w:val="nil"/>
              <w:right w:val="nil"/>
            </w:tcBorders>
          </w:tcPr>
          <w:p w14:paraId="2A6B0A5D"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TAXATION*POST</w:t>
            </w:r>
          </w:p>
        </w:tc>
        <w:tc>
          <w:tcPr>
            <w:tcW w:w="1721" w:type="dxa"/>
            <w:tcBorders>
              <w:top w:val="nil"/>
              <w:left w:val="nil"/>
              <w:bottom w:val="nil"/>
              <w:right w:val="nil"/>
            </w:tcBorders>
          </w:tcPr>
          <w:p w14:paraId="677958BD"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-0.330***</w:t>
            </w:r>
          </w:p>
        </w:tc>
        <w:tc>
          <w:tcPr>
            <w:tcW w:w="1698" w:type="dxa"/>
            <w:tcBorders>
              <w:top w:val="nil"/>
              <w:left w:val="nil"/>
              <w:bottom w:val="nil"/>
              <w:right w:val="nil"/>
            </w:tcBorders>
          </w:tcPr>
          <w:p w14:paraId="354E4B63"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-0.013</w:t>
            </w:r>
          </w:p>
        </w:tc>
        <w:tc>
          <w:tcPr>
            <w:tcW w:w="1678" w:type="dxa"/>
            <w:tcBorders>
              <w:top w:val="nil"/>
              <w:left w:val="nil"/>
              <w:bottom w:val="nil"/>
              <w:right w:val="nil"/>
            </w:tcBorders>
          </w:tcPr>
          <w:p w14:paraId="17AEF10E"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-0.011</w:t>
            </w:r>
          </w:p>
        </w:tc>
      </w:tr>
      <w:tr w:rsidR="00E400D4" w14:paraId="43643EFF" w14:textId="77777777" w:rsidTr="009E6656">
        <w:trPr>
          <w:jc w:val="center"/>
        </w:trPr>
        <w:tc>
          <w:tcPr>
            <w:tcW w:w="3099" w:type="dxa"/>
            <w:tcBorders>
              <w:top w:val="nil"/>
              <w:left w:val="nil"/>
              <w:bottom w:val="nil"/>
              <w:right w:val="nil"/>
            </w:tcBorders>
          </w:tcPr>
          <w:p w14:paraId="326E8B56"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p>
        </w:tc>
        <w:tc>
          <w:tcPr>
            <w:tcW w:w="1721" w:type="dxa"/>
            <w:tcBorders>
              <w:top w:val="nil"/>
              <w:left w:val="nil"/>
              <w:bottom w:val="nil"/>
              <w:right w:val="nil"/>
            </w:tcBorders>
          </w:tcPr>
          <w:p w14:paraId="55E43BB5"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(-3.87)</w:t>
            </w:r>
          </w:p>
        </w:tc>
        <w:tc>
          <w:tcPr>
            <w:tcW w:w="1698" w:type="dxa"/>
            <w:tcBorders>
              <w:top w:val="nil"/>
              <w:left w:val="nil"/>
              <w:bottom w:val="nil"/>
              <w:right w:val="nil"/>
            </w:tcBorders>
          </w:tcPr>
          <w:p w14:paraId="2FD363F3"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(-1.47)</w:t>
            </w:r>
          </w:p>
        </w:tc>
        <w:tc>
          <w:tcPr>
            <w:tcW w:w="1678" w:type="dxa"/>
            <w:tcBorders>
              <w:top w:val="nil"/>
              <w:left w:val="nil"/>
              <w:bottom w:val="nil"/>
              <w:right w:val="nil"/>
            </w:tcBorders>
          </w:tcPr>
          <w:p w14:paraId="5BAE28E8"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(-1.03)</w:t>
            </w:r>
          </w:p>
        </w:tc>
      </w:tr>
      <w:tr w:rsidR="00E400D4" w14:paraId="68093288" w14:textId="77777777" w:rsidTr="009E6656">
        <w:trPr>
          <w:jc w:val="center"/>
        </w:trPr>
        <w:tc>
          <w:tcPr>
            <w:tcW w:w="3099" w:type="dxa"/>
            <w:tcBorders>
              <w:top w:val="nil"/>
              <w:left w:val="nil"/>
              <w:bottom w:val="nil"/>
              <w:right w:val="nil"/>
            </w:tcBorders>
          </w:tcPr>
          <w:p w14:paraId="77D199FF"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SB_PAYMENTS*POST</w:t>
            </w:r>
          </w:p>
        </w:tc>
        <w:tc>
          <w:tcPr>
            <w:tcW w:w="1721" w:type="dxa"/>
            <w:tcBorders>
              <w:top w:val="nil"/>
              <w:left w:val="nil"/>
              <w:bottom w:val="nil"/>
              <w:right w:val="nil"/>
            </w:tcBorders>
          </w:tcPr>
          <w:p w14:paraId="3F0DB1EA"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0.065</w:t>
            </w:r>
          </w:p>
        </w:tc>
        <w:tc>
          <w:tcPr>
            <w:tcW w:w="1698" w:type="dxa"/>
            <w:tcBorders>
              <w:top w:val="nil"/>
              <w:left w:val="nil"/>
              <w:bottom w:val="nil"/>
              <w:right w:val="nil"/>
            </w:tcBorders>
          </w:tcPr>
          <w:p w14:paraId="0B6F359A"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0.006</w:t>
            </w:r>
          </w:p>
        </w:tc>
        <w:tc>
          <w:tcPr>
            <w:tcW w:w="1678" w:type="dxa"/>
            <w:tcBorders>
              <w:top w:val="nil"/>
              <w:left w:val="nil"/>
              <w:bottom w:val="nil"/>
              <w:right w:val="nil"/>
            </w:tcBorders>
          </w:tcPr>
          <w:p w14:paraId="44681562"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0.006</w:t>
            </w:r>
          </w:p>
        </w:tc>
      </w:tr>
      <w:tr w:rsidR="00E400D4" w14:paraId="7DF57583" w14:textId="77777777" w:rsidTr="009E6656">
        <w:trPr>
          <w:jc w:val="center"/>
        </w:trPr>
        <w:tc>
          <w:tcPr>
            <w:tcW w:w="3099" w:type="dxa"/>
            <w:tcBorders>
              <w:top w:val="nil"/>
              <w:left w:val="nil"/>
              <w:bottom w:val="nil"/>
              <w:right w:val="nil"/>
            </w:tcBorders>
          </w:tcPr>
          <w:p w14:paraId="43E474C1"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p>
        </w:tc>
        <w:tc>
          <w:tcPr>
            <w:tcW w:w="1721" w:type="dxa"/>
            <w:tcBorders>
              <w:top w:val="nil"/>
              <w:left w:val="nil"/>
              <w:bottom w:val="nil"/>
              <w:right w:val="nil"/>
            </w:tcBorders>
          </w:tcPr>
          <w:p w14:paraId="2E5FF8CA"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(0.73)</w:t>
            </w:r>
          </w:p>
        </w:tc>
        <w:tc>
          <w:tcPr>
            <w:tcW w:w="1698" w:type="dxa"/>
            <w:tcBorders>
              <w:top w:val="nil"/>
              <w:left w:val="nil"/>
              <w:bottom w:val="nil"/>
              <w:right w:val="nil"/>
            </w:tcBorders>
          </w:tcPr>
          <w:p w14:paraId="32D82DB5"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(0.73)</w:t>
            </w:r>
          </w:p>
        </w:tc>
        <w:tc>
          <w:tcPr>
            <w:tcW w:w="1678" w:type="dxa"/>
            <w:tcBorders>
              <w:top w:val="nil"/>
              <w:left w:val="nil"/>
              <w:bottom w:val="nil"/>
              <w:right w:val="nil"/>
            </w:tcBorders>
          </w:tcPr>
          <w:p w14:paraId="2A5E47CE"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(0.60)</w:t>
            </w:r>
          </w:p>
        </w:tc>
      </w:tr>
      <w:tr w:rsidR="00E400D4" w14:paraId="42BCD30D" w14:textId="77777777" w:rsidTr="009E6656">
        <w:trPr>
          <w:jc w:val="center"/>
        </w:trPr>
        <w:tc>
          <w:tcPr>
            <w:tcW w:w="3099" w:type="dxa"/>
            <w:tcBorders>
              <w:top w:val="nil"/>
              <w:left w:val="nil"/>
              <w:bottom w:val="nil"/>
              <w:right w:val="nil"/>
            </w:tcBorders>
          </w:tcPr>
          <w:p w14:paraId="4CAA0DF6"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GOODWILL*POST</w:t>
            </w:r>
          </w:p>
        </w:tc>
        <w:tc>
          <w:tcPr>
            <w:tcW w:w="1721" w:type="dxa"/>
            <w:tcBorders>
              <w:top w:val="nil"/>
              <w:left w:val="nil"/>
              <w:bottom w:val="nil"/>
              <w:right w:val="nil"/>
            </w:tcBorders>
          </w:tcPr>
          <w:p w14:paraId="32E67B72"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0.070</w:t>
            </w:r>
          </w:p>
        </w:tc>
        <w:tc>
          <w:tcPr>
            <w:tcW w:w="1698" w:type="dxa"/>
            <w:tcBorders>
              <w:top w:val="nil"/>
              <w:left w:val="nil"/>
              <w:bottom w:val="nil"/>
              <w:right w:val="nil"/>
            </w:tcBorders>
          </w:tcPr>
          <w:p w14:paraId="4F1A9F87"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w:t>
            </w:r>
          </w:p>
        </w:tc>
        <w:tc>
          <w:tcPr>
            <w:tcW w:w="1678" w:type="dxa"/>
            <w:tcBorders>
              <w:top w:val="nil"/>
              <w:left w:val="nil"/>
              <w:bottom w:val="nil"/>
              <w:right w:val="nil"/>
            </w:tcBorders>
          </w:tcPr>
          <w:p w14:paraId="4B66D316"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w:t>
            </w:r>
          </w:p>
        </w:tc>
      </w:tr>
      <w:tr w:rsidR="00E400D4" w14:paraId="137FB36F" w14:textId="77777777" w:rsidTr="009E6656">
        <w:trPr>
          <w:jc w:val="center"/>
        </w:trPr>
        <w:tc>
          <w:tcPr>
            <w:tcW w:w="3099" w:type="dxa"/>
            <w:tcBorders>
              <w:top w:val="nil"/>
              <w:left w:val="nil"/>
              <w:bottom w:val="nil"/>
              <w:right w:val="nil"/>
            </w:tcBorders>
          </w:tcPr>
          <w:p w14:paraId="60F96E51"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p>
        </w:tc>
        <w:tc>
          <w:tcPr>
            <w:tcW w:w="1721" w:type="dxa"/>
            <w:tcBorders>
              <w:top w:val="nil"/>
              <w:left w:val="nil"/>
              <w:bottom w:val="nil"/>
              <w:right w:val="nil"/>
            </w:tcBorders>
          </w:tcPr>
          <w:p w14:paraId="5C09F609"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(0.97)</w:t>
            </w:r>
          </w:p>
        </w:tc>
        <w:tc>
          <w:tcPr>
            <w:tcW w:w="1698" w:type="dxa"/>
            <w:tcBorders>
              <w:top w:val="nil"/>
              <w:left w:val="nil"/>
              <w:bottom w:val="nil"/>
              <w:right w:val="nil"/>
            </w:tcBorders>
          </w:tcPr>
          <w:p w14:paraId="0530A498"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(0.07)</w:t>
            </w:r>
          </w:p>
        </w:tc>
        <w:tc>
          <w:tcPr>
            <w:tcW w:w="1678" w:type="dxa"/>
            <w:tcBorders>
              <w:top w:val="nil"/>
              <w:left w:val="nil"/>
              <w:bottom w:val="nil"/>
              <w:right w:val="nil"/>
            </w:tcBorders>
          </w:tcPr>
          <w:p w14:paraId="36270F38"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(-0.24)</w:t>
            </w:r>
          </w:p>
        </w:tc>
      </w:tr>
      <w:tr w:rsidR="00E400D4" w14:paraId="09A51874" w14:textId="77777777" w:rsidTr="009E6656">
        <w:trPr>
          <w:jc w:val="center"/>
        </w:trPr>
        <w:tc>
          <w:tcPr>
            <w:tcW w:w="3099" w:type="dxa"/>
            <w:tcBorders>
              <w:top w:val="nil"/>
              <w:left w:val="nil"/>
              <w:bottom w:val="nil"/>
              <w:right w:val="nil"/>
            </w:tcBorders>
          </w:tcPr>
          <w:p w14:paraId="251365DE"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FIN_INSTRUMENTS*POST</w:t>
            </w:r>
          </w:p>
        </w:tc>
        <w:tc>
          <w:tcPr>
            <w:tcW w:w="1721" w:type="dxa"/>
            <w:tcBorders>
              <w:top w:val="nil"/>
              <w:left w:val="nil"/>
              <w:bottom w:val="nil"/>
              <w:right w:val="nil"/>
            </w:tcBorders>
          </w:tcPr>
          <w:p w14:paraId="7437C67E"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-0.075</w:t>
            </w:r>
          </w:p>
        </w:tc>
        <w:tc>
          <w:tcPr>
            <w:tcW w:w="1698" w:type="dxa"/>
            <w:tcBorders>
              <w:top w:val="nil"/>
              <w:left w:val="nil"/>
              <w:bottom w:val="nil"/>
              <w:right w:val="nil"/>
            </w:tcBorders>
          </w:tcPr>
          <w:p w14:paraId="1AC6CF9B"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-0.007</w:t>
            </w:r>
          </w:p>
        </w:tc>
        <w:tc>
          <w:tcPr>
            <w:tcW w:w="1678" w:type="dxa"/>
            <w:tcBorders>
              <w:top w:val="nil"/>
              <w:left w:val="nil"/>
              <w:bottom w:val="nil"/>
              <w:right w:val="nil"/>
            </w:tcBorders>
          </w:tcPr>
          <w:p w14:paraId="58171C4A"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-0.003</w:t>
            </w:r>
          </w:p>
        </w:tc>
      </w:tr>
      <w:tr w:rsidR="00E400D4" w14:paraId="6C48829B" w14:textId="77777777" w:rsidTr="009E6656">
        <w:trPr>
          <w:jc w:val="center"/>
        </w:trPr>
        <w:tc>
          <w:tcPr>
            <w:tcW w:w="3099" w:type="dxa"/>
            <w:tcBorders>
              <w:top w:val="nil"/>
              <w:left w:val="nil"/>
              <w:bottom w:val="nil"/>
              <w:right w:val="nil"/>
            </w:tcBorders>
          </w:tcPr>
          <w:p w14:paraId="1DA7DE41"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p>
        </w:tc>
        <w:tc>
          <w:tcPr>
            <w:tcW w:w="1721" w:type="dxa"/>
            <w:tcBorders>
              <w:top w:val="nil"/>
              <w:left w:val="nil"/>
              <w:bottom w:val="nil"/>
              <w:right w:val="nil"/>
            </w:tcBorders>
          </w:tcPr>
          <w:p w14:paraId="4C061B5C"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(-0.85)</w:t>
            </w:r>
          </w:p>
        </w:tc>
        <w:tc>
          <w:tcPr>
            <w:tcW w:w="1698" w:type="dxa"/>
            <w:tcBorders>
              <w:top w:val="nil"/>
              <w:left w:val="nil"/>
              <w:bottom w:val="nil"/>
              <w:right w:val="nil"/>
            </w:tcBorders>
          </w:tcPr>
          <w:p w14:paraId="215477A8"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(-0.76)</w:t>
            </w:r>
          </w:p>
        </w:tc>
        <w:tc>
          <w:tcPr>
            <w:tcW w:w="1678" w:type="dxa"/>
            <w:tcBorders>
              <w:top w:val="nil"/>
              <w:left w:val="nil"/>
              <w:bottom w:val="nil"/>
              <w:right w:val="nil"/>
            </w:tcBorders>
          </w:tcPr>
          <w:p w14:paraId="407F3CB3"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(-0.40)</w:t>
            </w:r>
          </w:p>
        </w:tc>
      </w:tr>
      <w:tr w:rsidR="00E400D4" w14:paraId="1E08DC5E" w14:textId="77777777" w:rsidTr="009E6656">
        <w:trPr>
          <w:jc w:val="center"/>
        </w:trPr>
        <w:tc>
          <w:tcPr>
            <w:tcW w:w="3099" w:type="dxa"/>
            <w:tcBorders>
              <w:top w:val="nil"/>
              <w:left w:val="nil"/>
              <w:bottom w:val="nil"/>
              <w:right w:val="nil"/>
            </w:tcBorders>
          </w:tcPr>
          <w:p w14:paraId="34C75D82"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p>
        </w:tc>
        <w:tc>
          <w:tcPr>
            <w:tcW w:w="1721" w:type="dxa"/>
            <w:tcBorders>
              <w:top w:val="nil"/>
              <w:left w:val="nil"/>
              <w:bottom w:val="nil"/>
              <w:right w:val="nil"/>
            </w:tcBorders>
          </w:tcPr>
          <w:p w14:paraId="5F5B1EF7"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p>
        </w:tc>
        <w:tc>
          <w:tcPr>
            <w:tcW w:w="1698" w:type="dxa"/>
            <w:tcBorders>
              <w:top w:val="nil"/>
              <w:left w:val="nil"/>
              <w:bottom w:val="nil"/>
              <w:right w:val="nil"/>
            </w:tcBorders>
          </w:tcPr>
          <w:p w14:paraId="45BFC24C"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p>
        </w:tc>
        <w:tc>
          <w:tcPr>
            <w:tcW w:w="1678" w:type="dxa"/>
            <w:tcBorders>
              <w:top w:val="nil"/>
              <w:left w:val="nil"/>
              <w:bottom w:val="nil"/>
              <w:right w:val="nil"/>
            </w:tcBorders>
          </w:tcPr>
          <w:p w14:paraId="688DABE8"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p>
        </w:tc>
      </w:tr>
      <w:tr w:rsidR="00E400D4" w14:paraId="6EFACAB0" w14:textId="77777777" w:rsidTr="009E6656">
        <w:trPr>
          <w:jc w:val="center"/>
        </w:trPr>
        <w:tc>
          <w:tcPr>
            <w:tcW w:w="3099" w:type="dxa"/>
            <w:tcBorders>
              <w:top w:val="nil"/>
              <w:left w:val="nil"/>
              <w:bottom w:val="nil"/>
              <w:right w:val="nil"/>
            </w:tcBorders>
          </w:tcPr>
          <w:p w14:paraId="54FACA01"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Observations</w:t>
            </w:r>
          </w:p>
        </w:tc>
        <w:tc>
          <w:tcPr>
            <w:tcW w:w="1721" w:type="dxa"/>
            <w:tcBorders>
              <w:top w:val="nil"/>
              <w:left w:val="nil"/>
              <w:bottom w:val="nil"/>
              <w:right w:val="nil"/>
            </w:tcBorders>
          </w:tcPr>
          <w:p w14:paraId="3424699F"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520</w:t>
            </w:r>
          </w:p>
        </w:tc>
        <w:tc>
          <w:tcPr>
            <w:tcW w:w="1698" w:type="dxa"/>
            <w:tcBorders>
              <w:top w:val="nil"/>
              <w:left w:val="nil"/>
              <w:bottom w:val="nil"/>
              <w:right w:val="nil"/>
            </w:tcBorders>
          </w:tcPr>
          <w:p w14:paraId="73F4C9C2"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520</w:t>
            </w:r>
          </w:p>
        </w:tc>
        <w:tc>
          <w:tcPr>
            <w:tcW w:w="1678" w:type="dxa"/>
            <w:tcBorders>
              <w:top w:val="nil"/>
              <w:left w:val="nil"/>
              <w:bottom w:val="nil"/>
              <w:right w:val="nil"/>
            </w:tcBorders>
          </w:tcPr>
          <w:p w14:paraId="10ECFEE1"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512</w:t>
            </w:r>
          </w:p>
        </w:tc>
      </w:tr>
      <w:tr w:rsidR="00E400D4" w14:paraId="4E61E584" w14:textId="77777777" w:rsidTr="009E6656">
        <w:trPr>
          <w:jc w:val="center"/>
        </w:trPr>
        <w:tc>
          <w:tcPr>
            <w:tcW w:w="3099" w:type="dxa"/>
            <w:tcBorders>
              <w:top w:val="nil"/>
              <w:left w:val="nil"/>
              <w:bottom w:val="nil"/>
              <w:right w:val="nil"/>
            </w:tcBorders>
          </w:tcPr>
          <w:p w14:paraId="263EB0AF"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Firm FE</w:t>
            </w:r>
          </w:p>
        </w:tc>
        <w:tc>
          <w:tcPr>
            <w:tcW w:w="1721" w:type="dxa"/>
            <w:tcBorders>
              <w:top w:val="nil"/>
              <w:left w:val="nil"/>
              <w:bottom w:val="nil"/>
              <w:right w:val="nil"/>
            </w:tcBorders>
          </w:tcPr>
          <w:p w14:paraId="4E0CEF08"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Included</w:t>
            </w:r>
          </w:p>
        </w:tc>
        <w:tc>
          <w:tcPr>
            <w:tcW w:w="1698" w:type="dxa"/>
            <w:tcBorders>
              <w:top w:val="nil"/>
              <w:left w:val="nil"/>
              <w:bottom w:val="nil"/>
              <w:right w:val="nil"/>
            </w:tcBorders>
          </w:tcPr>
          <w:p w14:paraId="613AEE5B"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Included</w:t>
            </w:r>
          </w:p>
        </w:tc>
        <w:tc>
          <w:tcPr>
            <w:tcW w:w="1678" w:type="dxa"/>
            <w:tcBorders>
              <w:top w:val="nil"/>
              <w:left w:val="nil"/>
              <w:bottom w:val="nil"/>
              <w:right w:val="nil"/>
            </w:tcBorders>
          </w:tcPr>
          <w:p w14:paraId="2CD6FAD7"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Included</w:t>
            </w:r>
          </w:p>
        </w:tc>
      </w:tr>
      <w:tr w:rsidR="00E400D4" w14:paraId="224410F4" w14:textId="77777777" w:rsidTr="009E6656">
        <w:trPr>
          <w:jc w:val="center"/>
        </w:trPr>
        <w:tc>
          <w:tcPr>
            <w:tcW w:w="3099" w:type="dxa"/>
            <w:tcBorders>
              <w:top w:val="nil"/>
              <w:left w:val="nil"/>
              <w:bottom w:val="nil"/>
              <w:right w:val="nil"/>
            </w:tcBorders>
          </w:tcPr>
          <w:p w14:paraId="1CAEE9DF"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Year FE</w:t>
            </w:r>
          </w:p>
        </w:tc>
        <w:tc>
          <w:tcPr>
            <w:tcW w:w="1721" w:type="dxa"/>
            <w:tcBorders>
              <w:top w:val="nil"/>
              <w:left w:val="nil"/>
              <w:bottom w:val="nil"/>
              <w:right w:val="nil"/>
            </w:tcBorders>
          </w:tcPr>
          <w:p w14:paraId="7D4EDF95"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Included</w:t>
            </w:r>
          </w:p>
        </w:tc>
        <w:tc>
          <w:tcPr>
            <w:tcW w:w="1698" w:type="dxa"/>
            <w:tcBorders>
              <w:top w:val="nil"/>
              <w:left w:val="nil"/>
              <w:bottom w:val="nil"/>
              <w:right w:val="nil"/>
            </w:tcBorders>
          </w:tcPr>
          <w:p w14:paraId="55E45395"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Included</w:t>
            </w:r>
          </w:p>
        </w:tc>
        <w:tc>
          <w:tcPr>
            <w:tcW w:w="1678" w:type="dxa"/>
            <w:tcBorders>
              <w:top w:val="nil"/>
              <w:left w:val="nil"/>
              <w:bottom w:val="nil"/>
              <w:right w:val="nil"/>
            </w:tcBorders>
          </w:tcPr>
          <w:p w14:paraId="33677018"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Included</w:t>
            </w:r>
          </w:p>
        </w:tc>
      </w:tr>
      <w:tr w:rsidR="00E400D4" w14:paraId="76238C60" w14:textId="77777777" w:rsidTr="009E6656">
        <w:tblPrEx>
          <w:tblBorders>
            <w:bottom w:val="single" w:sz="6" w:space="0" w:color="auto"/>
          </w:tblBorders>
        </w:tblPrEx>
        <w:trPr>
          <w:jc w:val="center"/>
        </w:trPr>
        <w:tc>
          <w:tcPr>
            <w:tcW w:w="3099" w:type="dxa"/>
            <w:tcBorders>
              <w:top w:val="nil"/>
              <w:left w:val="nil"/>
              <w:bottom w:val="single" w:sz="6" w:space="0" w:color="auto"/>
              <w:right w:val="nil"/>
            </w:tcBorders>
          </w:tcPr>
          <w:p w14:paraId="284B1804" w14:textId="77777777" w:rsidR="00E400D4" w:rsidRDefault="00E400D4" w:rsidP="00E400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Adj. R-squared</w:t>
            </w:r>
          </w:p>
        </w:tc>
        <w:tc>
          <w:tcPr>
            <w:tcW w:w="1721" w:type="dxa"/>
            <w:tcBorders>
              <w:top w:val="nil"/>
              <w:left w:val="nil"/>
              <w:bottom w:val="single" w:sz="6" w:space="0" w:color="auto"/>
              <w:right w:val="nil"/>
            </w:tcBorders>
          </w:tcPr>
          <w:p w14:paraId="63E50DD8"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0.132</w:t>
            </w:r>
          </w:p>
        </w:tc>
        <w:tc>
          <w:tcPr>
            <w:tcW w:w="1698" w:type="dxa"/>
            <w:tcBorders>
              <w:top w:val="nil"/>
              <w:left w:val="nil"/>
              <w:bottom w:val="single" w:sz="6" w:space="0" w:color="auto"/>
              <w:right w:val="nil"/>
            </w:tcBorders>
          </w:tcPr>
          <w:p w14:paraId="655100BE"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0.171</w:t>
            </w:r>
          </w:p>
        </w:tc>
        <w:tc>
          <w:tcPr>
            <w:tcW w:w="1678" w:type="dxa"/>
            <w:tcBorders>
              <w:top w:val="nil"/>
              <w:left w:val="nil"/>
              <w:bottom w:val="single" w:sz="6" w:space="0" w:color="auto"/>
              <w:right w:val="nil"/>
            </w:tcBorders>
          </w:tcPr>
          <w:p w14:paraId="6F965ABA" w14:textId="77777777" w:rsidR="00E400D4" w:rsidRDefault="00E400D4" w:rsidP="00E400D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0.161</w:t>
            </w:r>
          </w:p>
        </w:tc>
      </w:tr>
    </w:tbl>
    <w:p w14:paraId="330D3E84" w14:textId="59720F6C" w:rsidR="0006627E" w:rsidRPr="009E6656" w:rsidRDefault="0006627E" w:rsidP="0006627E">
      <w:pPr>
        <w:contextualSpacing/>
        <w:jc w:val="center"/>
        <w:rPr>
          <w:rFonts w:ascii="Times New Roman" w:hAnsi="Times New Roman"/>
          <w:b/>
          <w:sz w:val="24"/>
          <w:szCs w:val="24"/>
        </w:rPr>
      </w:pPr>
      <w:r w:rsidRPr="009E6656">
        <w:rPr>
          <w:rFonts w:ascii="Times New Roman" w:hAnsi="Times New Roman"/>
          <w:b/>
          <w:sz w:val="24"/>
          <w:szCs w:val="24"/>
        </w:rPr>
        <w:t>Table 11</w:t>
      </w:r>
      <w:r>
        <w:rPr>
          <w:rFonts w:ascii="Times New Roman" w:hAnsi="Times New Roman"/>
          <w:b/>
          <w:sz w:val="24"/>
          <w:szCs w:val="24"/>
        </w:rPr>
        <w:t>- Continued</w:t>
      </w:r>
    </w:p>
    <w:p w14:paraId="1E240AB9" w14:textId="77777777" w:rsidR="0006627E" w:rsidRDefault="0006627E" w:rsidP="0006627E">
      <w:pPr>
        <w:pBdr>
          <w:bottom w:val="single" w:sz="12" w:space="1" w:color="auto"/>
        </w:pBdr>
        <w:contextualSpacing/>
        <w:jc w:val="center"/>
        <w:rPr>
          <w:rFonts w:ascii="Times New Roman" w:hAnsi="Times New Roman"/>
          <w:b/>
          <w:sz w:val="24"/>
          <w:szCs w:val="24"/>
          <w:vertAlign w:val="superscript"/>
        </w:rPr>
      </w:pPr>
      <w:r>
        <w:rPr>
          <w:rFonts w:ascii="Times New Roman" w:hAnsi="Times New Roman"/>
          <w:b/>
          <w:sz w:val="24"/>
          <w:szCs w:val="24"/>
        </w:rPr>
        <w:t>Other IFRS Changes</w:t>
      </w:r>
      <w:r>
        <w:rPr>
          <w:rFonts w:ascii="Times New Roman" w:hAnsi="Times New Roman"/>
          <w:b/>
          <w:sz w:val="24"/>
          <w:szCs w:val="24"/>
          <w:vertAlign w:val="superscript"/>
        </w:rPr>
        <w:t>a</w:t>
      </w:r>
    </w:p>
    <w:p w14:paraId="014D4085" w14:textId="1C72F202" w:rsidR="0006627E" w:rsidRDefault="0006627E" w:rsidP="00F7035D">
      <w:pPr>
        <w:tabs>
          <w:tab w:val="left" w:pos="720"/>
        </w:tabs>
        <w:spacing w:after="0" w:line="240" w:lineRule="auto"/>
        <w:contextualSpacing/>
        <w:jc w:val="both"/>
        <w:rPr>
          <w:rFonts w:ascii="Times New Roman" w:hAnsi="Times New Roman" w:cs="Times New Roman"/>
          <w:sz w:val="24"/>
          <w:szCs w:val="24"/>
        </w:rPr>
      </w:pPr>
      <w:r>
        <w:rPr>
          <w:rFonts w:ascii="Times New Roman" w:hAnsi="Times New Roman"/>
          <w:b/>
          <w:sz w:val="24"/>
          <w:szCs w:val="24"/>
          <w:vertAlign w:val="superscript"/>
        </w:rPr>
        <w:t>a</w:t>
      </w:r>
      <w:r w:rsidR="00104CB6" w:rsidRPr="0080751D">
        <w:rPr>
          <w:rFonts w:ascii="Times New Roman" w:hAnsi="Times New Roman"/>
          <w:sz w:val="24"/>
          <w:szCs w:val="24"/>
        </w:rPr>
        <w:t xml:space="preserve">This table </w:t>
      </w:r>
      <w:r w:rsidR="00104CB6">
        <w:rPr>
          <w:rFonts w:ascii="Times New Roman" w:hAnsi="Times New Roman"/>
          <w:sz w:val="24"/>
          <w:szCs w:val="24"/>
        </w:rPr>
        <w:t>reports the coefficient</w:t>
      </w:r>
      <w:r w:rsidR="00104CB6" w:rsidRPr="0080751D">
        <w:rPr>
          <w:rFonts w:ascii="Times New Roman" w:hAnsi="Times New Roman"/>
          <w:sz w:val="24"/>
          <w:szCs w:val="24"/>
        </w:rPr>
        <w:t xml:space="preserve"> estimates</w:t>
      </w:r>
      <w:r w:rsidR="00104CB6">
        <w:rPr>
          <w:rFonts w:ascii="Times New Roman" w:hAnsi="Times New Roman"/>
          <w:sz w:val="24"/>
          <w:szCs w:val="24"/>
        </w:rPr>
        <w:t xml:space="preserve"> and t-statistics</w:t>
      </w:r>
      <w:r w:rsidR="00104CB6" w:rsidRPr="0080751D">
        <w:rPr>
          <w:rFonts w:ascii="Times New Roman" w:hAnsi="Times New Roman"/>
          <w:sz w:val="24"/>
          <w:szCs w:val="24"/>
        </w:rPr>
        <w:t xml:space="preserve"> from the follo</w:t>
      </w:r>
      <w:r w:rsidR="00104CB6">
        <w:rPr>
          <w:rFonts w:ascii="Times New Roman" w:hAnsi="Times New Roman"/>
          <w:sz w:val="24"/>
          <w:szCs w:val="24"/>
        </w:rPr>
        <w:t xml:space="preserve">wing regression: </w:t>
      </w:r>
      <w:r w:rsidR="00104CB6" w:rsidRPr="00C11785">
        <w:rPr>
          <w:rFonts w:ascii="Times New Roman" w:hAnsi="Times New Roman" w:cs="Times New Roman"/>
          <w:sz w:val="24"/>
          <w:szCs w:val="24"/>
        </w:rPr>
        <w:t>R&amp;D</w:t>
      </w:r>
      <w:r w:rsidR="00104CB6">
        <w:rPr>
          <w:rFonts w:ascii="Times New Roman" w:hAnsi="Times New Roman" w:cs="Times New Roman"/>
          <w:sz w:val="24"/>
          <w:szCs w:val="24"/>
        </w:rPr>
        <w:t xml:space="preserve"> Growth = </w:t>
      </w:r>
      <w:r w:rsidR="00F327C9">
        <w:rPr>
          <w:rFonts w:ascii="Symbol" w:hAnsi="Symbol" w:cs="Times New Roman"/>
          <w:sz w:val="24"/>
          <w:szCs w:val="24"/>
        </w:rPr>
        <w:t></w:t>
      </w:r>
      <w:r w:rsidR="00104CB6" w:rsidRPr="00DF2E72">
        <w:rPr>
          <w:rFonts w:ascii="Times New Roman" w:hAnsi="Times New Roman" w:cs="Times New Roman"/>
          <w:sz w:val="24"/>
          <w:szCs w:val="24"/>
          <w:vertAlign w:val="subscript"/>
        </w:rPr>
        <w:t xml:space="preserve">0 </w:t>
      </w:r>
      <w:r w:rsidR="00104CB6">
        <w:rPr>
          <w:rFonts w:ascii="Times New Roman" w:hAnsi="Times New Roman" w:cs="Times New Roman"/>
          <w:sz w:val="24"/>
          <w:szCs w:val="24"/>
        </w:rPr>
        <w:t>+ ∑</w:t>
      </w:r>
      <w:r w:rsidR="00104CB6" w:rsidRPr="0012154E">
        <w:rPr>
          <w:rFonts w:ascii="Times New Roman" w:hAnsi="Times New Roman" w:cs="Times New Roman"/>
          <w:sz w:val="24"/>
          <w:szCs w:val="24"/>
          <w:vertAlign w:val="subscript"/>
        </w:rPr>
        <w:t xml:space="preserve">t </w:t>
      </w:r>
      <w:r w:rsidR="00104CB6">
        <w:rPr>
          <w:rFonts w:ascii="Symbol" w:hAnsi="Symbol" w:cs="Times New Roman"/>
          <w:sz w:val="24"/>
          <w:szCs w:val="24"/>
        </w:rPr>
        <w:t></w:t>
      </w:r>
      <w:r w:rsidR="00104CB6" w:rsidRPr="0012154E">
        <w:rPr>
          <w:rFonts w:ascii="Times New Roman" w:hAnsi="Times New Roman" w:cs="Times New Roman"/>
          <w:sz w:val="24"/>
          <w:szCs w:val="24"/>
          <w:vertAlign w:val="subscript"/>
        </w:rPr>
        <w:t>t</w:t>
      </w:r>
      <w:r w:rsidR="00104CB6">
        <w:rPr>
          <w:rFonts w:ascii="Times New Roman" w:hAnsi="Times New Roman" w:cs="Times New Roman"/>
          <w:sz w:val="24"/>
          <w:szCs w:val="24"/>
        </w:rPr>
        <w:t>SWITCH*IFRS</w:t>
      </w:r>
      <w:r w:rsidR="00104CB6" w:rsidRPr="0012154E">
        <w:rPr>
          <w:rFonts w:ascii="Times New Roman" w:hAnsi="Times New Roman" w:cs="Times New Roman"/>
          <w:sz w:val="24"/>
          <w:szCs w:val="24"/>
          <w:vertAlign w:val="subscript"/>
        </w:rPr>
        <w:t xml:space="preserve">t </w:t>
      </w:r>
      <w:r w:rsidR="00083EAA">
        <w:rPr>
          <w:rFonts w:ascii="Times New Roman" w:hAnsi="Times New Roman" w:cs="Times New Roman"/>
          <w:sz w:val="24"/>
          <w:szCs w:val="24"/>
        </w:rPr>
        <w:t xml:space="preserve">+ </w:t>
      </w:r>
      <w:r w:rsidR="00083EAA">
        <w:rPr>
          <w:rFonts w:ascii="Symbol" w:hAnsi="Symbol" w:cs="Times New Roman"/>
          <w:sz w:val="24"/>
          <w:szCs w:val="24"/>
        </w:rPr>
        <w:t></w:t>
      </w:r>
      <w:r w:rsidR="00083EAA">
        <w:rPr>
          <w:rFonts w:ascii="Times New Roman" w:hAnsi="Times New Roman" w:cs="Times New Roman"/>
          <w:sz w:val="24"/>
          <w:szCs w:val="24"/>
          <w:vertAlign w:val="subscript"/>
        </w:rPr>
        <w:t>j</w:t>
      </w:r>
      <w:r w:rsidR="00083EAA">
        <w:rPr>
          <w:rFonts w:ascii="Symbol" w:hAnsi="Symbol" w:cs="Times New Roman"/>
          <w:sz w:val="24"/>
          <w:szCs w:val="24"/>
        </w:rPr>
        <w:t></w:t>
      </w:r>
      <w:r w:rsidR="00083EAA">
        <w:rPr>
          <w:rFonts w:ascii="Times New Roman" w:hAnsi="Times New Roman" w:cs="Times New Roman"/>
          <w:sz w:val="24"/>
          <w:szCs w:val="24"/>
          <w:vertAlign w:val="subscript"/>
        </w:rPr>
        <w:t>j</w:t>
      </w:r>
      <w:r w:rsidR="00083EAA">
        <w:rPr>
          <w:rFonts w:ascii="Times New Roman" w:hAnsi="Times New Roman" w:cs="Times New Roman"/>
          <w:sz w:val="24"/>
          <w:szCs w:val="24"/>
        </w:rPr>
        <w:t>OTH_</w:t>
      </w:r>
      <w:r w:rsidR="004815F7">
        <w:rPr>
          <w:rFonts w:ascii="Times New Roman" w:hAnsi="Times New Roman" w:cs="Times New Roman"/>
          <w:sz w:val="24"/>
          <w:szCs w:val="24"/>
        </w:rPr>
        <w:t>IFRS_</w:t>
      </w:r>
      <w:r w:rsidR="00083EAA">
        <w:rPr>
          <w:rFonts w:ascii="Times New Roman" w:hAnsi="Times New Roman" w:cs="Times New Roman"/>
          <w:sz w:val="24"/>
          <w:szCs w:val="24"/>
        </w:rPr>
        <w:t>CHG</w:t>
      </w:r>
      <w:r w:rsidR="00083EAA">
        <w:rPr>
          <w:rFonts w:ascii="Times New Roman" w:hAnsi="Times New Roman" w:cs="Times New Roman"/>
          <w:sz w:val="24"/>
          <w:szCs w:val="24"/>
          <w:vertAlign w:val="subscript"/>
        </w:rPr>
        <w:t>j</w:t>
      </w:r>
      <w:r w:rsidR="00083EAA">
        <w:rPr>
          <w:rFonts w:ascii="Times New Roman" w:hAnsi="Times New Roman" w:cs="Times New Roman"/>
          <w:sz w:val="24"/>
          <w:szCs w:val="24"/>
        </w:rPr>
        <w:t xml:space="preserve">*POST </w:t>
      </w:r>
      <w:r w:rsidR="00104CB6">
        <w:rPr>
          <w:rFonts w:ascii="Times New Roman" w:hAnsi="Times New Roman" w:cs="Times New Roman"/>
          <w:sz w:val="24"/>
          <w:szCs w:val="24"/>
        </w:rPr>
        <w:t>+ ∑</w:t>
      </w:r>
      <w:r w:rsidR="00104CB6" w:rsidRPr="0012154E">
        <w:rPr>
          <w:rFonts w:ascii="Times New Roman" w:hAnsi="Times New Roman" w:cs="Times New Roman"/>
          <w:sz w:val="24"/>
          <w:szCs w:val="24"/>
          <w:vertAlign w:val="subscript"/>
        </w:rPr>
        <w:t>i</w:t>
      </w:r>
      <w:r w:rsidR="00104CB6">
        <w:rPr>
          <w:rFonts w:ascii="Symbol" w:hAnsi="Symbol" w:cs="Times New Roman"/>
          <w:sz w:val="24"/>
          <w:szCs w:val="24"/>
        </w:rPr>
        <w:sym w:font="Symbol" w:char="F046"/>
      </w:r>
      <w:r w:rsidR="00104CB6">
        <w:rPr>
          <w:rFonts w:ascii="Times New Roman" w:hAnsi="Times New Roman" w:cs="Times New Roman"/>
          <w:sz w:val="24"/>
          <w:szCs w:val="24"/>
          <w:vertAlign w:val="subscript"/>
        </w:rPr>
        <w:t>i</w:t>
      </w:r>
      <w:r w:rsidR="00104CB6">
        <w:rPr>
          <w:rFonts w:ascii="Times New Roman" w:hAnsi="Times New Roman" w:cs="Times New Roman"/>
          <w:sz w:val="24"/>
          <w:szCs w:val="24"/>
        </w:rPr>
        <w:t>Control</w:t>
      </w:r>
      <w:r w:rsidR="00104CB6" w:rsidRPr="0012154E">
        <w:rPr>
          <w:rFonts w:ascii="Times New Roman" w:hAnsi="Times New Roman" w:cs="Times New Roman"/>
          <w:sz w:val="24"/>
          <w:szCs w:val="24"/>
          <w:vertAlign w:val="subscript"/>
        </w:rPr>
        <w:t xml:space="preserve">i </w:t>
      </w:r>
      <w:r w:rsidR="00104CB6">
        <w:rPr>
          <w:rFonts w:ascii="Times New Roman" w:hAnsi="Times New Roman" w:cs="Times New Roman"/>
          <w:sz w:val="24"/>
          <w:szCs w:val="24"/>
        </w:rPr>
        <w:t xml:space="preserve">+ firm fixed effects + year fixed effects + </w:t>
      </w:r>
      <w:r w:rsidR="00104CB6" w:rsidRPr="00480C6E">
        <w:rPr>
          <w:rFonts w:ascii="Symbol" w:hAnsi="Symbol" w:cs="Times New Roman"/>
          <w:sz w:val="24"/>
          <w:szCs w:val="24"/>
        </w:rPr>
        <w:t></w:t>
      </w:r>
      <w:r w:rsidR="00104CB6">
        <w:rPr>
          <w:rFonts w:ascii="Times New Roman" w:hAnsi="Times New Roman" w:cs="Times New Roman"/>
          <w:sz w:val="24"/>
          <w:szCs w:val="24"/>
        </w:rPr>
        <w:t xml:space="preserve">    </w:t>
      </w:r>
    </w:p>
    <w:p w14:paraId="227BB478" w14:textId="13FD8E6A" w:rsidR="00104CB6" w:rsidRDefault="00104CB6" w:rsidP="00F7035D">
      <w:pPr>
        <w:tabs>
          <w:tab w:val="left" w:pos="720"/>
        </w:tabs>
        <w:spacing w:after="0" w:line="240" w:lineRule="auto"/>
        <w:contextualSpacing/>
        <w:jc w:val="both"/>
        <w:rPr>
          <w:rFonts w:ascii="Times New Roman" w:hAnsi="Times New Roman"/>
          <w:sz w:val="24"/>
          <w:szCs w:val="24"/>
        </w:rPr>
      </w:pPr>
      <w:r>
        <w:rPr>
          <w:rFonts w:ascii="Times New Roman" w:hAnsi="Times New Roman" w:cs="Times New Roman"/>
          <w:sz w:val="24"/>
          <w:szCs w:val="24"/>
        </w:rPr>
        <w:t xml:space="preserve">   </w:t>
      </w:r>
    </w:p>
    <w:p w14:paraId="12A631B5" w14:textId="46764E04" w:rsidR="000629C7" w:rsidRPr="005137F2" w:rsidRDefault="00104CB6" w:rsidP="00F7035D">
      <w:pPr>
        <w:jc w:val="both"/>
        <w:rPr>
          <w:rFonts w:ascii="Times New Roman" w:hAnsi="Times New Roman" w:cs="Times New Roman"/>
          <w:sz w:val="24"/>
          <w:szCs w:val="24"/>
        </w:rPr>
      </w:pPr>
      <w:r>
        <w:rPr>
          <w:rFonts w:ascii="Times New Roman" w:hAnsi="Times New Roman"/>
          <w:sz w:val="24"/>
          <w:szCs w:val="24"/>
        </w:rPr>
        <w:t>The dependent variable (R&amp;D Growth) is measured as follows: RD_Gwth</w:t>
      </w:r>
      <w:r w:rsidRPr="00FD3A6E">
        <w:rPr>
          <w:rFonts w:ascii="Times New Roman" w:hAnsi="Times New Roman"/>
          <w:sz w:val="24"/>
          <w:szCs w:val="24"/>
        </w:rPr>
        <w:t xml:space="preserve"> </w:t>
      </w:r>
      <w:r>
        <w:rPr>
          <w:rFonts w:ascii="Times New Roman" w:hAnsi="Times New Roman"/>
          <w:sz w:val="24"/>
          <w:szCs w:val="24"/>
        </w:rPr>
        <w:t>is the change in R&amp;D expenditures divided by lagged R&amp;D expenditures;</w:t>
      </w:r>
      <w:r w:rsidRPr="00FD3A6E">
        <w:rPr>
          <w:rFonts w:ascii="Times New Roman" w:hAnsi="Times New Roman"/>
          <w:sz w:val="24"/>
          <w:szCs w:val="24"/>
        </w:rPr>
        <w:t xml:space="preserve"> </w:t>
      </w:r>
      <w:r>
        <w:rPr>
          <w:rFonts w:ascii="Times New Roman" w:hAnsi="Times New Roman"/>
          <w:sz w:val="24"/>
          <w:szCs w:val="24"/>
        </w:rPr>
        <w:t xml:space="preserve">RD_TA is the change in R&amp;D expenditures scaled by lagged total assets; RD_Sales is the change in R&amp;D expenditures divided by lagged sales. </w:t>
      </w:r>
      <w:r w:rsidR="00AA5F43">
        <w:rPr>
          <w:rFonts w:ascii="Times New Roman" w:hAnsi="Times New Roman"/>
          <w:sz w:val="24"/>
          <w:szCs w:val="24"/>
        </w:rPr>
        <w:t xml:space="preserve">SWITCH is an indicator variable that equals 1 for switchers (firms that switched from </w:t>
      </w:r>
      <w:r w:rsidR="00AA5F43">
        <w:rPr>
          <w:rFonts w:ascii="Times New Roman" w:hAnsi="Times New Roman" w:cs="Times New Roman"/>
          <w:sz w:val="24"/>
          <w:szCs w:val="24"/>
        </w:rPr>
        <w:t>expensing R&amp;D under UK GAAP to capitalizing R&amp;D under IFRS</w:t>
      </w:r>
      <w:r w:rsidR="00AA5F43">
        <w:rPr>
          <w:rFonts w:ascii="Times New Roman" w:hAnsi="Times New Roman"/>
          <w:sz w:val="24"/>
          <w:szCs w:val="24"/>
        </w:rPr>
        <w:t>), and 0 for capitalizers (firms that always capitalized under UK GAAP and IFRS</w:t>
      </w:r>
      <w:r w:rsidR="00AA5F43" w:rsidRPr="005137F2">
        <w:rPr>
          <w:rFonts w:ascii="Times New Roman" w:hAnsi="Times New Roman" w:cs="Times New Roman"/>
          <w:sz w:val="24"/>
          <w:szCs w:val="24"/>
        </w:rPr>
        <w:t>).</w:t>
      </w:r>
      <w:r>
        <w:rPr>
          <w:rFonts w:ascii="Times New Roman" w:hAnsi="Times New Roman"/>
          <w:sz w:val="24"/>
          <w:szCs w:val="24"/>
        </w:rPr>
        <w:t xml:space="preserve"> </w:t>
      </w:r>
      <w:r w:rsidRPr="005137F2">
        <w:rPr>
          <w:rFonts w:ascii="Times New Roman" w:hAnsi="Times New Roman" w:cs="Times New Roman"/>
          <w:sz w:val="24"/>
          <w:szCs w:val="24"/>
        </w:rPr>
        <w:t>IFRS</w:t>
      </w:r>
      <w:r w:rsidRPr="005137F2">
        <w:rPr>
          <w:rFonts w:ascii="Times New Roman" w:hAnsi="Times New Roman" w:cs="Times New Roman"/>
          <w:sz w:val="24"/>
          <w:szCs w:val="24"/>
          <w:vertAlign w:val="subscript"/>
        </w:rPr>
        <w:t>t</w:t>
      </w:r>
      <w:r w:rsidRPr="005137F2">
        <w:rPr>
          <w:rFonts w:ascii="Times New Roman" w:hAnsi="Times New Roman" w:cs="Times New Roman"/>
          <w:sz w:val="24"/>
          <w:szCs w:val="24"/>
        </w:rPr>
        <w:t xml:space="preserve"> are a sequence of indicator variables that equals 1 in the year t relative to IFRS period (2005 and beyond) and 0 otherwise, where t runs from </w:t>
      </w:r>
      <w:r w:rsidR="00EE37C3" w:rsidRPr="005137F2">
        <w:rPr>
          <w:rFonts w:ascii="Times New Roman" w:hAnsi="Times New Roman" w:cs="Times New Roman"/>
          <w:sz w:val="24"/>
          <w:szCs w:val="24"/>
        </w:rPr>
        <w:t>-</w:t>
      </w:r>
      <w:r w:rsidRPr="005137F2">
        <w:rPr>
          <w:rFonts w:ascii="Times New Roman" w:hAnsi="Times New Roman" w:cs="Times New Roman"/>
          <w:sz w:val="24"/>
          <w:szCs w:val="24"/>
        </w:rPr>
        <w:t>4 to +3 (i.e., 4 years before through 3 years after IFRS adoption).</w:t>
      </w:r>
      <w:r w:rsidR="004815F7" w:rsidRPr="005137F2">
        <w:rPr>
          <w:rFonts w:ascii="Times New Roman" w:hAnsi="Times New Roman" w:cs="Times New Roman"/>
          <w:sz w:val="24"/>
          <w:szCs w:val="24"/>
        </w:rPr>
        <w:t xml:space="preserve"> OTH_IFRS_</w:t>
      </w:r>
      <w:r w:rsidRPr="005137F2">
        <w:rPr>
          <w:rFonts w:ascii="Times New Roman" w:hAnsi="Times New Roman" w:cs="Times New Roman"/>
          <w:sz w:val="24"/>
          <w:szCs w:val="24"/>
        </w:rPr>
        <w:t>CHG</w:t>
      </w:r>
      <w:r w:rsidR="00F13FE1" w:rsidRPr="005137F2">
        <w:rPr>
          <w:rFonts w:ascii="Times New Roman" w:hAnsi="Times New Roman" w:cs="Times New Roman"/>
          <w:sz w:val="24"/>
          <w:szCs w:val="24"/>
          <w:vertAlign w:val="subscript"/>
        </w:rPr>
        <w:t>j</w:t>
      </w:r>
      <w:r w:rsidR="00F13FE1" w:rsidRPr="005137F2">
        <w:rPr>
          <w:rFonts w:ascii="Times New Roman" w:hAnsi="Times New Roman" w:cs="Times New Roman"/>
          <w:sz w:val="24"/>
          <w:szCs w:val="24"/>
        </w:rPr>
        <w:t xml:space="preserve"> are a sequence of indicator variables that equal 1 if a firm reported an impact from switching from UK GAAP to IFRS in its reconciliation of its </w:t>
      </w:r>
      <w:r w:rsidR="00204A1E" w:rsidRPr="005137F2">
        <w:rPr>
          <w:rFonts w:ascii="Times New Roman" w:hAnsi="Times New Roman" w:cs="Times New Roman"/>
          <w:sz w:val="24"/>
          <w:szCs w:val="24"/>
        </w:rPr>
        <w:t xml:space="preserve">income statement and balance sheet </w:t>
      </w:r>
      <w:r w:rsidR="00F13FE1" w:rsidRPr="005137F2">
        <w:rPr>
          <w:rFonts w:ascii="Times New Roman" w:hAnsi="Times New Roman" w:cs="Times New Roman"/>
          <w:sz w:val="24"/>
          <w:szCs w:val="24"/>
        </w:rPr>
        <w:t>for the last year of UK GAAP and the ‘as-if-IFRS’ restatement</w:t>
      </w:r>
      <w:r w:rsidR="00204A1E" w:rsidRPr="005137F2">
        <w:rPr>
          <w:rFonts w:ascii="Times New Roman" w:hAnsi="Times New Roman" w:cs="Times New Roman"/>
          <w:sz w:val="24"/>
          <w:szCs w:val="24"/>
        </w:rPr>
        <w:t xml:space="preserve"> of the income statement and balance sheet</w:t>
      </w:r>
      <w:r w:rsidR="00F13FE1" w:rsidRPr="005137F2">
        <w:rPr>
          <w:rFonts w:ascii="Times New Roman" w:hAnsi="Times New Roman" w:cs="Times New Roman"/>
          <w:sz w:val="24"/>
          <w:szCs w:val="24"/>
        </w:rPr>
        <w:t>. The six accounting changes relate to accounting for leases (LEASES), pensions (PENSIONS), deferred taxes (TAXATION), stock option compensation (SB_PAYMENTS), goodwill (GOODWILL), and derivatives (FIN_INSTRUMENTS).</w:t>
      </w:r>
      <w:r w:rsidR="00083EAA" w:rsidRPr="005137F2">
        <w:rPr>
          <w:rFonts w:ascii="Times New Roman" w:hAnsi="Times New Roman" w:cs="Times New Roman"/>
          <w:sz w:val="24"/>
          <w:szCs w:val="24"/>
        </w:rPr>
        <w:t xml:space="preserve"> </w:t>
      </w:r>
      <w:r w:rsidR="008E0157">
        <w:rPr>
          <w:rFonts w:ascii="Times New Roman" w:hAnsi="Times New Roman"/>
          <w:sz w:val="24"/>
          <w:szCs w:val="24"/>
        </w:rPr>
        <w:t xml:space="preserve">POST </w:t>
      </w:r>
      <w:r w:rsidR="008E0157">
        <w:rPr>
          <w:rFonts w:ascii="Times New Roman" w:hAnsi="Times New Roman" w:cs="Times New Roman"/>
          <w:sz w:val="24"/>
          <w:szCs w:val="24"/>
        </w:rPr>
        <w:t xml:space="preserve">is </w:t>
      </w:r>
      <w:r w:rsidR="008E0157" w:rsidRPr="0060354E">
        <w:rPr>
          <w:rFonts w:asciiTheme="majorBidi" w:hAnsiTheme="majorBidi" w:cstheme="majorBidi"/>
          <w:sz w:val="24"/>
          <w:szCs w:val="24"/>
        </w:rPr>
        <w:t xml:space="preserve">an indicator variable that equals 1 </w:t>
      </w:r>
      <w:r w:rsidR="008E0157">
        <w:rPr>
          <w:rFonts w:ascii="Times New Roman" w:hAnsi="Times New Roman" w:cs="Times New Roman"/>
          <w:sz w:val="24"/>
          <w:szCs w:val="24"/>
        </w:rPr>
        <w:t xml:space="preserve">if the firm has switched to IFRS, 0 otherwise. </w:t>
      </w:r>
      <w:r w:rsidR="00083EAA" w:rsidRPr="005137F2">
        <w:rPr>
          <w:rFonts w:ascii="Times New Roman" w:hAnsi="Times New Roman" w:cs="Times New Roman"/>
          <w:sz w:val="24"/>
          <w:szCs w:val="24"/>
        </w:rPr>
        <w:t xml:space="preserve"> See Table 6 for the definition of the control variables</w:t>
      </w:r>
      <w:r w:rsidR="00CA0A1E" w:rsidRPr="005137F2">
        <w:rPr>
          <w:rFonts w:ascii="Times New Roman" w:hAnsi="Times New Roman" w:cs="Times New Roman"/>
          <w:sz w:val="24"/>
          <w:szCs w:val="24"/>
        </w:rPr>
        <w:t>.</w:t>
      </w:r>
    </w:p>
    <w:p w14:paraId="166CB127" w14:textId="77777777" w:rsidR="00CA0A1E" w:rsidRPr="005137F2" w:rsidRDefault="00CA0A1E" w:rsidP="00F7035D">
      <w:pPr>
        <w:contextualSpacing/>
        <w:jc w:val="both"/>
        <w:rPr>
          <w:rFonts w:ascii="Times New Roman" w:hAnsi="Times New Roman" w:cs="Times New Roman"/>
          <w:sz w:val="24"/>
          <w:szCs w:val="24"/>
        </w:rPr>
      </w:pPr>
      <w:r w:rsidRPr="005137F2">
        <w:rPr>
          <w:rFonts w:ascii="Times New Roman" w:hAnsi="Times New Roman" w:cs="Times New Roman"/>
          <w:sz w:val="24"/>
          <w:szCs w:val="24"/>
        </w:rPr>
        <w:t xml:space="preserve">Standard errors are clustered by firm. </w:t>
      </w:r>
    </w:p>
    <w:p w14:paraId="62D4DFAF" w14:textId="77777777" w:rsidR="00CA0A1E" w:rsidRPr="0080751D" w:rsidRDefault="00CA0A1E" w:rsidP="00F7035D">
      <w:pPr>
        <w:contextualSpacing/>
        <w:jc w:val="both"/>
        <w:rPr>
          <w:rFonts w:ascii="Times New Roman" w:hAnsi="Times New Roman"/>
          <w:sz w:val="24"/>
          <w:szCs w:val="24"/>
        </w:rPr>
      </w:pPr>
    </w:p>
    <w:p w14:paraId="1B963776" w14:textId="77777777" w:rsidR="00CA0A1E" w:rsidRPr="0080751D" w:rsidRDefault="00CA0A1E" w:rsidP="00F7035D">
      <w:pPr>
        <w:spacing w:before="100" w:beforeAutospacing="1" w:after="0" w:line="240" w:lineRule="auto"/>
        <w:contextualSpacing/>
        <w:jc w:val="both"/>
        <w:rPr>
          <w:rFonts w:ascii="Times New Roman" w:hAnsi="Times New Roman"/>
          <w:sz w:val="24"/>
          <w:szCs w:val="24"/>
        </w:rPr>
      </w:pPr>
      <w:r w:rsidRPr="0080751D">
        <w:rPr>
          <w:rFonts w:ascii="Times New Roman" w:hAnsi="Times New Roman"/>
          <w:sz w:val="24"/>
          <w:szCs w:val="24"/>
        </w:rPr>
        <w:t>*, ** and *** indicate significance at the 0.10, 0.05 and 0.01 levels, respectively.</w:t>
      </w:r>
    </w:p>
    <w:p w14:paraId="45024FE0" w14:textId="77777777" w:rsidR="00CA0A1E" w:rsidRDefault="00CA0A1E" w:rsidP="00F7035D">
      <w:pPr>
        <w:jc w:val="both"/>
        <w:rPr>
          <w:rFonts w:ascii="Times New Roman" w:hAnsi="Times New Roman"/>
          <w:b/>
          <w:sz w:val="24"/>
          <w:szCs w:val="24"/>
        </w:rPr>
      </w:pPr>
    </w:p>
    <w:p w14:paraId="1493E472" w14:textId="77777777" w:rsidR="000629C7" w:rsidRDefault="000629C7" w:rsidP="009E6656">
      <w:pPr>
        <w:jc w:val="center"/>
        <w:rPr>
          <w:rFonts w:ascii="Times New Roman" w:hAnsi="Times New Roman"/>
          <w:b/>
          <w:sz w:val="24"/>
          <w:szCs w:val="24"/>
        </w:rPr>
      </w:pPr>
    </w:p>
    <w:p w14:paraId="7AD279F5" w14:textId="77777777" w:rsidR="000629C7" w:rsidRDefault="000629C7" w:rsidP="009E6656">
      <w:pPr>
        <w:jc w:val="center"/>
        <w:rPr>
          <w:rFonts w:ascii="Times New Roman" w:hAnsi="Times New Roman"/>
          <w:b/>
          <w:sz w:val="24"/>
          <w:szCs w:val="24"/>
        </w:rPr>
      </w:pPr>
    </w:p>
    <w:p w14:paraId="65C2029D" w14:textId="77777777" w:rsidR="000629C7" w:rsidRDefault="000629C7" w:rsidP="009E6656">
      <w:pPr>
        <w:jc w:val="center"/>
        <w:rPr>
          <w:rFonts w:ascii="Times New Roman" w:hAnsi="Times New Roman"/>
          <w:b/>
          <w:sz w:val="24"/>
          <w:szCs w:val="24"/>
        </w:rPr>
      </w:pPr>
    </w:p>
    <w:p w14:paraId="31C24CD9" w14:textId="77777777" w:rsidR="000629C7" w:rsidRDefault="000629C7" w:rsidP="009E6656">
      <w:pPr>
        <w:jc w:val="center"/>
        <w:rPr>
          <w:rFonts w:ascii="Times New Roman" w:hAnsi="Times New Roman"/>
          <w:b/>
          <w:sz w:val="24"/>
          <w:szCs w:val="24"/>
        </w:rPr>
      </w:pPr>
    </w:p>
    <w:p w14:paraId="75E0FE0C" w14:textId="77777777" w:rsidR="000629C7" w:rsidRDefault="000629C7" w:rsidP="009E6656">
      <w:pPr>
        <w:jc w:val="center"/>
        <w:rPr>
          <w:rFonts w:ascii="Times New Roman" w:hAnsi="Times New Roman"/>
          <w:b/>
          <w:sz w:val="24"/>
          <w:szCs w:val="24"/>
        </w:rPr>
      </w:pPr>
    </w:p>
    <w:p w14:paraId="2EA6A7B9" w14:textId="77777777" w:rsidR="000629C7" w:rsidRDefault="000629C7" w:rsidP="009E6656">
      <w:pPr>
        <w:jc w:val="center"/>
        <w:rPr>
          <w:rFonts w:ascii="Times New Roman" w:hAnsi="Times New Roman"/>
          <w:b/>
          <w:sz w:val="24"/>
          <w:szCs w:val="24"/>
        </w:rPr>
      </w:pPr>
    </w:p>
    <w:p w14:paraId="1EF31DEE" w14:textId="77777777" w:rsidR="000629C7" w:rsidRDefault="000629C7" w:rsidP="009E6656">
      <w:pPr>
        <w:jc w:val="center"/>
        <w:rPr>
          <w:rFonts w:ascii="Times New Roman" w:hAnsi="Times New Roman"/>
          <w:b/>
          <w:sz w:val="24"/>
          <w:szCs w:val="24"/>
        </w:rPr>
      </w:pPr>
    </w:p>
    <w:p w14:paraId="6AD0CB11" w14:textId="77777777" w:rsidR="000629C7" w:rsidRDefault="000629C7" w:rsidP="009E6656">
      <w:pPr>
        <w:jc w:val="center"/>
        <w:rPr>
          <w:rFonts w:ascii="Times New Roman" w:hAnsi="Times New Roman"/>
          <w:b/>
          <w:sz w:val="24"/>
          <w:szCs w:val="24"/>
        </w:rPr>
      </w:pPr>
    </w:p>
    <w:p w14:paraId="6898918A" w14:textId="77777777" w:rsidR="000629C7" w:rsidRDefault="000629C7" w:rsidP="009E6656">
      <w:pPr>
        <w:jc w:val="center"/>
        <w:rPr>
          <w:rFonts w:ascii="Times New Roman" w:hAnsi="Times New Roman"/>
          <w:b/>
          <w:sz w:val="24"/>
          <w:szCs w:val="24"/>
        </w:rPr>
      </w:pPr>
    </w:p>
    <w:p w14:paraId="24487F64" w14:textId="77777777" w:rsidR="0006627E" w:rsidRDefault="0006627E" w:rsidP="009E6656">
      <w:pPr>
        <w:contextualSpacing/>
        <w:jc w:val="center"/>
        <w:rPr>
          <w:rFonts w:ascii="Times New Roman" w:hAnsi="Times New Roman" w:cs="Times New Roman"/>
          <w:b/>
          <w:sz w:val="24"/>
          <w:szCs w:val="24"/>
        </w:rPr>
      </w:pPr>
    </w:p>
    <w:p w14:paraId="4C1E418E" w14:textId="77777777" w:rsidR="00F7035D" w:rsidRDefault="00F7035D" w:rsidP="009E6656">
      <w:pPr>
        <w:contextualSpacing/>
        <w:jc w:val="center"/>
        <w:rPr>
          <w:rFonts w:ascii="Times New Roman" w:hAnsi="Times New Roman"/>
          <w:b/>
          <w:sz w:val="24"/>
          <w:szCs w:val="24"/>
        </w:rPr>
      </w:pPr>
    </w:p>
    <w:p w14:paraId="1EA03EDC" w14:textId="77777777" w:rsidR="00F7035D" w:rsidRDefault="00F7035D" w:rsidP="009E6656">
      <w:pPr>
        <w:contextualSpacing/>
        <w:jc w:val="center"/>
        <w:rPr>
          <w:rFonts w:ascii="Times New Roman" w:hAnsi="Times New Roman"/>
          <w:b/>
          <w:sz w:val="24"/>
          <w:szCs w:val="24"/>
        </w:rPr>
      </w:pPr>
    </w:p>
    <w:p w14:paraId="611B8027" w14:textId="77777777" w:rsidR="00F7035D" w:rsidRDefault="00F7035D" w:rsidP="009E6656">
      <w:pPr>
        <w:contextualSpacing/>
        <w:jc w:val="center"/>
        <w:rPr>
          <w:rFonts w:ascii="Times New Roman" w:hAnsi="Times New Roman"/>
          <w:b/>
          <w:sz w:val="24"/>
          <w:szCs w:val="24"/>
        </w:rPr>
      </w:pPr>
    </w:p>
    <w:p w14:paraId="36499991" w14:textId="49583841" w:rsidR="00AE251F" w:rsidRDefault="00AE251F" w:rsidP="0041453D">
      <w:pPr>
        <w:contextualSpacing/>
        <w:jc w:val="center"/>
        <w:rPr>
          <w:rFonts w:ascii="Times New Roman" w:hAnsi="Times New Roman"/>
          <w:b/>
          <w:sz w:val="24"/>
          <w:szCs w:val="24"/>
        </w:rPr>
      </w:pPr>
      <w:r>
        <w:rPr>
          <w:rFonts w:ascii="Times New Roman" w:hAnsi="Times New Roman"/>
          <w:b/>
          <w:sz w:val="24"/>
          <w:szCs w:val="24"/>
        </w:rPr>
        <w:t>Table 1</w:t>
      </w:r>
      <w:r w:rsidR="004827D5">
        <w:rPr>
          <w:rFonts w:ascii="Times New Roman" w:hAnsi="Times New Roman"/>
          <w:b/>
          <w:sz w:val="24"/>
          <w:szCs w:val="24"/>
        </w:rPr>
        <w:t>2</w:t>
      </w:r>
    </w:p>
    <w:p w14:paraId="57AD325D" w14:textId="11BBE462" w:rsidR="00706A69" w:rsidRDefault="00706A69" w:rsidP="00AE251F">
      <w:pPr>
        <w:pBdr>
          <w:bottom w:val="single" w:sz="12" w:space="1" w:color="auto"/>
        </w:pBdr>
        <w:spacing w:line="240" w:lineRule="auto"/>
        <w:contextualSpacing/>
        <w:jc w:val="center"/>
        <w:rPr>
          <w:rFonts w:ascii="Times New Roman" w:hAnsi="Times New Roman"/>
          <w:b/>
          <w:sz w:val="24"/>
          <w:szCs w:val="24"/>
          <w:vertAlign w:val="superscript"/>
        </w:rPr>
      </w:pPr>
      <w:r>
        <w:rPr>
          <w:rFonts w:ascii="Times New Roman" w:hAnsi="Times New Roman"/>
          <w:b/>
          <w:sz w:val="24"/>
          <w:szCs w:val="24"/>
        </w:rPr>
        <w:t>Bid Ask Spreads</w:t>
      </w:r>
      <w:r>
        <w:rPr>
          <w:rFonts w:ascii="Times New Roman" w:hAnsi="Times New Roman"/>
          <w:b/>
          <w:sz w:val="24"/>
          <w:szCs w:val="24"/>
          <w:vertAlign w:val="superscript"/>
        </w:rPr>
        <w:t>a</w:t>
      </w:r>
    </w:p>
    <w:p w14:paraId="7647E876" w14:textId="77777777" w:rsidR="003B168C" w:rsidRPr="000E6E26" w:rsidRDefault="003B168C" w:rsidP="00AE251F">
      <w:pPr>
        <w:spacing w:line="240" w:lineRule="auto"/>
        <w:contextualSpacing/>
        <w:jc w:val="center"/>
        <w:rPr>
          <w:rFonts w:ascii="Times New Roman" w:hAnsi="Times New Roman"/>
          <w:b/>
          <w:sz w:val="24"/>
          <w:szCs w:val="24"/>
          <w:vertAlign w:val="superscript"/>
        </w:rPr>
      </w:pPr>
    </w:p>
    <w:tbl>
      <w:tblPr>
        <w:tblW w:w="5529" w:type="dxa"/>
        <w:jc w:val="center"/>
        <w:tblLayout w:type="fixed"/>
        <w:tblCellMar>
          <w:left w:w="75" w:type="dxa"/>
          <w:right w:w="75" w:type="dxa"/>
        </w:tblCellMar>
        <w:tblLook w:val="0000" w:firstRow="0" w:lastRow="0" w:firstColumn="0" w:lastColumn="0" w:noHBand="0" w:noVBand="0"/>
      </w:tblPr>
      <w:tblGrid>
        <w:gridCol w:w="3261"/>
        <w:gridCol w:w="2268"/>
      </w:tblGrid>
      <w:tr w:rsidR="003B168C" w14:paraId="60D89C69" w14:textId="77777777" w:rsidTr="003B168C">
        <w:trPr>
          <w:jc w:val="center"/>
        </w:trPr>
        <w:tc>
          <w:tcPr>
            <w:tcW w:w="3261" w:type="dxa"/>
            <w:tcBorders>
              <w:top w:val="nil"/>
              <w:left w:val="nil"/>
              <w:bottom w:val="single" w:sz="6" w:space="0" w:color="auto"/>
              <w:right w:val="nil"/>
            </w:tcBorders>
          </w:tcPr>
          <w:p w14:paraId="665281A7" w14:textId="77777777" w:rsidR="003B168C" w:rsidRDefault="003B168C" w:rsidP="00885A25">
            <w:pPr>
              <w:widowControl w:val="0"/>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VARIABLES</w:t>
            </w:r>
          </w:p>
        </w:tc>
        <w:tc>
          <w:tcPr>
            <w:tcW w:w="2268" w:type="dxa"/>
            <w:tcBorders>
              <w:top w:val="nil"/>
              <w:left w:val="nil"/>
              <w:bottom w:val="single" w:sz="6" w:space="0" w:color="auto"/>
              <w:right w:val="nil"/>
            </w:tcBorders>
          </w:tcPr>
          <w:p w14:paraId="0644DFFA" w14:textId="77777777" w:rsidR="003B168C" w:rsidRDefault="003B168C" w:rsidP="00885A25">
            <w:pPr>
              <w:widowControl w:val="0"/>
              <w:autoSpaceDE w:val="0"/>
              <w:autoSpaceDN w:val="0"/>
              <w:adjustRightIn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ΔBid_Ask</w:t>
            </w:r>
          </w:p>
        </w:tc>
      </w:tr>
      <w:tr w:rsidR="003B168C" w14:paraId="22D761F7" w14:textId="77777777" w:rsidTr="003B168C">
        <w:trPr>
          <w:jc w:val="center"/>
        </w:trPr>
        <w:tc>
          <w:tcPr>
            <w:tcW w:w="3261" w:type="dxa"/>
            <w:tcBorders>
              <w:top w:val="nil"/>
              <w:left w:val="nil"/>
              <w:bottom w:val="nil"/>
              <w:right w:val="nil"/>
            </w:tcBorders>
          </w:tcPr>
          <w:p w14:paraId="70F55191" w14:textId="77777777" w:rsidR="003B168C" w:rsidRDefault="003B168C" w:rsidP="00885A25">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0E471753" w14:textId="77777777" w:rsidR="003B168C" w:rsidRDefault="003B168C" w:rsidP="00885A25">
            <w:pPr>
              <w:widowControl w:val="0"/>
              <w:autoSpaceDE w:val="0"/>
              <w:autoSpaceDN w:val="0"/>
              <w:adjustRightInd w:val="0"/>
              <w:spacing w:after="0" w:line="240" w:lineRule="auto"/>
              <w:jc w:val="center"/>
              <w:rPr>
                <w:rFonts w:ascii="Times New Roman" w:hAnsi="Times New Roman" w:cs="Times New Roman"/>
                <w:sz w:val="24"/>
                <w:szCs w:val="24"/>
              </w:rPr>
            </w:pPr>
          </w:p>
        </w:tc>
      </w:tr>
      <w:tr w:rsidR="003B168C" w14:paraId="1C96A975" w14:textId="77777777" w:rsidTr="003B168C">
        <w:trPr>
          <w:jc w:val="center"/>
        </w:trPr>
        <w:tc>
          <w:tcPr>
            <w:tcW w:w="3261" w:type="dxa"/>
            <w:tcBorders>
              <w:top w:val="nil"/>
              <w:left w:val="nil"/>
              <w:bottom w:val="nil"/>
              <w:right w:val="nil"/>
            </w:tcBorders>
          </w:tcPr>
          <w:p w14:paraId="3BD6183F" w14:textId="77777777" w:rsidR="003B168C" w:rsidRDefault="003B168C" w:rsidP="00885A2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SWITCH</w:t>
            </w:r>
          </w:p>
        </w:tc>
        <w:tc>
          <w:tcPr>
            <w:tcW w:w="2268" w:type="dxa"/>
            <w:tcBorders>
              <w:top w:val="nil"/>
              <w:left w:val="nil"/>
              <w:bottom w:val="nil"/>
              <w:right w:val="nil"/>
            </w:tcBorders>
          </w:tcPr>
          <w:p w14:paraId="1F6D08B9" w14:textId="69DAD06F" w:rsidR="003B168C" w:rsidRDefault="00D6189F" w:rsidP="00885A2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-0.017*</w:t>
            </w:r>
          </w:p>
        </w:tc>
      </w:tr>
      <w:tr w:rsidR="003B168C" w14:paraId="41983B3A" w14:textId="77777777" w:rsidTr="003B168C">
        <w:trPr>
          <w:jc w:val="center"/>
        </w:trPr>
        <w:tc>
          <w:tcPr>
            <w:tcW w:w="3261" w:type="dxa"/>
            <w:tcBorders>
              <w:top w:val="nil"/>
              <w:left w:val="nil"/>
              <w:bottom w:val="nil"/>
              <w:right w:val="nil"/>
            </w:tcBorders>
          </w:tcPr>
          <w:p w14:paraId="5AEFAC11" w14:textId="77777777" w:rsidR="003B168C" w:rsidRDefault="003B168C" w:rsidP="00885A25">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37A8FBB7" w14:textId="0A7B17E5" w:rsidR="003B168C" w:rsidRDefault="00D6189F" w:rsidP="00885A2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(-1.92)</w:t>
            </w:r>
          </w:p>
        </w:tc>
      </w:tr>
      <w:tr w:rsidR="003B168C" w14:paraId="21D02D99" w14:textId="77777777" w:rsidTr="003B168C">
        <w:trPr>
          <w:jc w:val="center"/>
        </w:trPr>
        <w:tc>
          <w:tcPr>
            <w:tcW w:w="3261" w:type="dxa"/>
            <w:tcBorders>
              <w:top w:val="nil"/>
              <w:left w:val="nil"/>
              <w:bottom w:val="nil"/>
              <w:right w:val="nil"/>
            </w:tcBorders>
          </w:tcPr>
          <w:p w14:paraId="0824FF88" w14:textId="77777777" w:rsidR="003B168C" w:rsidRDefault="003B168C" w:rsidP="00885A2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Δ</w:t>
            </w:r>
            <w:r>
              <w:rPr>
                <w:rFonts w:ascii="Times New Roman" w:hAnsi="Times New Roman"/>
                <w:sz w:val="24"/>
                <w:szCs w:val="24"/>
              </w:rPr>
              <w:t>RetVOL</w:t>
            </w:r>
          </w:p>
        </w:tc>
        <w:tc>
          <w:tcPr>
            <w:tcW w:w="2268" w:type="dxa"/>
            <w:tcBorders>
              <w:top w:val="nil"/>
              <w:left w:val="nil"/>
              <w:bottom w:val="nil"/>
              <w:right w:val="nil"/>
            </w:tcBorders>
          </w:tcPr>
          <w:p w14:paraId="0E6BC79F" w14:textId="2F5054A7" w:rsidR="003B168C" w:rsidRDefault="00D6189F" w:rsidP="00885A2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0.110**</w:t>
            </w:r>
          </w:p>
        </w:tc>
      </w:tr>
      <w:tr w:rsidR="003B168C" w14:paraId="2AB69B1A" w14:textId="77777777" w:rsidTr="003B168C">
        <w:trPr>
          <w:jc w:val="center"/>
        </w:trPr>
        <w:tc>
          <w:tcPr>
            <w:tcW w:w="3261" w:type="dxa"/>
            <w:tcBorders>
              <w:top w:val="nil"/>
              <w:left w:val="nil"/>
              <w:bottom w:val="nil"/>
              <w:right w:val="nil"/>
            </w:tcBorders>
          </w:tcPr>
          <w:p w14:paraId="4A7207B2" w14:textId="77777777" w:rsidR="003B168C" w:rsidRDefault="003B168C" w:rsidP="00885A25">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139E0B96" w14:textId="37CC67CE" w:rsidR="003B168C" w:rsidRDefault="00D6189F" w:rsidP="00885A2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(2.54)</w:t>
            </w:r>
          </w:p>
        </w:tc>
      </w:tr>
      <w:tr w:rsidR="003B168C" w14:paraId="5A078BE4" w14:textId="77777777" w:rsidTr="003B168C">
        <w:trPr>
          <w:jc w:val="center"/>
        </w:trPr>
        <w:tc>
          <w:tcPr>
            <w:tcW w:w="3261" w:type="dxa"/>
            <w:tcBorders>
              <w:top w:val="nil"/>
              <w:left w:val="nil"/>
              <w:bottom w:val="nil"/>
              <w:right w:val="nil"/>
            </w:tcBorders>
          </w:tcPr>
          <w:p w14:paraId="3A6909F0" w14:textId="77777777" w:rsidR="003B168C" w:rsidRDefault="003B168C" w:rsidP="00885A2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Δ</w:t>
            </w:r>
            <w:r>
              <w:rPr>
                <w:rFonts w:ascii="Times New Roman" w:hAnsi="Times New Roman"/>
                <w:sz w:val="24"/>
                <w:szCs w:val="24"/>
              </w:rPr>
              <w:t>VOL</w:t>
            </w:r>
          </w:p>
        </w:tc>
        <w:tc>
          <w:tcPr>
            <w:tcW w:w="2268" w:type="dxa"/>
            <w:tcBorders>
              <w:top w:val="nil"/>
              <w:left w:val="nil"/>
              <w:bottom w:val="nil"/>
              <w:right w:val="nil"/>
            </w:tcBorders>
          </w:tcPr>
          <w:p w14:paraId="6AAF1FB1" w14:textId="37B71B35" w:rsidR="003B168C" w:rsidRDefault="00D6189F" w:rsidP="00885A2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-3.355</w:t>
            </w:r>
          </w:p>
        </w:tc>
      </w:tr>
      <w:tr w:rsidR="003B168C" w14:paraId="7081C370" w14:textId="77777777" w:rsidTr="003B168C">
        <w:trPr>
          <w:jc w:val="center"/>
        </w:trPr>
        <w:tc>
          <w:tcPr>
            <w:tcW w:w="3261" w:type="dxa"/>
            <w:tcBorders>
              <w:top w:val="nil"/>
              <w:left w:val="nil"/>
              <w:bottom w:val="nil"/>
              <w:right w:val="nil"/>
            </w:tcBorders>
          </w:tcPr>
          <w:p w14:paraId="6E8EA203" w14:textId="77777777" w:rsidR="003B168C" w:rsidRDefault="003B168C" w:rsidP="00885A25">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70EA42CD" w14:textId="069BA423" w:rsidR="003B168C" w:rsidRDefault="00D6189F" w:rsidP="00885A2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(-1.17)</w:t>
            </w:r>
          </w:p>
        </w:tc>
      </w:tr>
      <w:tr w:rsidR="003B168C" w14:paraId="0D52BA41" w14:textId="77777777" w:rsidTr="003B168C">
        <w:trPr>
          <w:jc w:val="center"/>
        </w:trPr>
        <w:tc>
          <w:tcPr>
            <w:tcW w:w="3261" w:type="dxa"/>
            <w:tcBorders>
              <w:top w:val="nil"/>
              <w:left w:val="nil"/>
              <w:bottom w:val="nil"/>
              <w:right w:val="nil"/>
            </w:tcBorders>
          </w:tcPr>
          <w:p w14:paraId="3D33885D" w14:textId="77777777" w:rsidR="003B168C" w:rsidRDefault="003B168C" w:rsidP="00885A2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Δ</w:t>
            </w:r>
            <w:r>
              <w:rPr>
                <w:rFonts w:ascii="Times New Roman" w:hAnsi="Times New Roman"/>
                <w:sz w:val="24"/>
                <w:szCs w:val="24"/>
              </w:rPr>
              <w:t>MV</w:t>
            </w:r>
          </w:p>
        </w:tc>
        <w:tc>
          <w:tcPr>
            <w:tcW w:w="2268" w:type="dxa"/>
            <w:tcBorders>
              <w:top w:val="nil"/>
              <w:left w:val="nil"/>
              <w:bottom w:val="nil"/>
              <w:right w:val="nil"/>
            </w:tcBorders>
          </w:tcPr>
          <w:p w14:paraId="7D03282E" w14:textId="1BF48B10" w:rsidR="003B168C" w:rsidRDefault="00D6189F" w:rsidP="00885A2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w:t>
            </w:r>
          </w:p>
        </w:tc>
      </w:tr>
      <w:tr w:rsidR="003B168C" w14:paraId="2A39226E" w14:textId="77777777" w:rsidTr="003B168C">
        <w:trPr>
          <w:jc w:val="center"/>
        </w:trPr>
        <w:tc>
          <w:tcPr>
            <w:tcW w:w="3261" w:type="dxa"/>
            <w:tcBorders>
              <w:top w:val="nil"/>
              <w:left w:val="nil"/>
              <w:bottom w:val="nil"/>
              <w:right w:val="nil"/>
            </w:tcBorders>
          </w:tcPr>
          <w:p w14:paraId="39C011B3" w14:textId="77777777" w:rsidR="003B168C" w:rsidRDefault="003B168C" w:rsidP="00885A25">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1873E1D0" w14:textId="0F87AF12" w:rsidR="003B168C" w:rsidRDefault="00D6189F" w:rsidP="00885A2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(-2.37)</w:t>
            </w:r>
          </w:p>
        </w:tc>
      </w:tr>
      <w:tr w:rsidR="003B168C" w14:paraId="455F569D" w14:textId="77777777" w:rsidTr="003B168C">
        <w:trPr>
          <w:jc w:val="center"/>
        </w:trPr>
        <w:tc>
          <w:tcPr>
            <w:tcW w:w="3261" w:type="dxa"/>
            <w:tcBorders>
              <w:top w:val="nil"/>
              <w:left w:val="nil"/>
              <w:bottom w:val="nil"/>
              <w:right w:val="nil"/>
            </w:tcBorders>
          </w:tcPr>
          <w:p w14:paraId="6CEAAC0D" w14:textId="77777777" w:rsidR="003B168C" w:rsidRDefault="003B168C" w:rsidP="00885A2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Δ</w:t>
            </w:r>
            <w:r>
              <w:rPr>
                <w:rFonts w:ascii="Times New Roman" w:hAnsi="Times New Roman"/>
                <w:sz w:val="24"/>
                <w:szCs w:val="24"/>
              </w:rPr>
              <w:t>PRC</w:t>
            </w:r>
          </w:p>
        </w:tc>
        <w:tc>
          <w:tcPr>
            <w:tcW w:w="2268" w:type="dxa"/>
            <w:tcBorders>
              <w:top w:val="nil"/>
              <w:left w:val="nil"/>
              <w:bottom w:val="nil"/>
              <w:right w:val="nil"/>
            </w:tcBorders>
          </w:tcPr>
          <w:p w14:paraId="01D7639D" w14:textId="6353F93D" w:rsidR="003B168C" w:rsidRDefault="00D6189F" w:rsidP="00885A2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-2.37</w:t>
            </w:r>
          </w:p>
        </w:tc>
      </w:tr>
      <w:tr w:rsidR="003B168C" w14:paraId="6FE8040F" w14:textId="77777777" w:rsidTr="003B168C">
        <w:trPr>
          <w:jc w:val="center"/>
        </w:trPr>
        <w:tc>
          <w:tcPr>
            <w:tcW w:w="3261" w:type="dxa"/>
            <w:tcBorders>
              <w:top w:val="nil"/>
              <w:left w:val="nil"/>
              <w:bottom w:val="nil"/>
              <w:right w:val="nil"/>
            </w:tcBorders>
          </w:tcPr>
          <w:p w14:paraId="758AA8C3" w14:textId="77777777" w:rsidR="003B168C" w:rsidRDefault="003B168C" w:rsidP="00885A25">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637937F9" w14:textId="278D7FBD" w:rsidR="003B168C" w:rsidRDefault="00D6189F" w:rsidP="00885A2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w:t>
            </w:r>
          </w:p>
        </w:tc>
      </w:tr>
      <w:tr w:rsidR="003B168C" w14:paraId="5037B0A7" w14:textId="77777777" w:rsidTr="003B168C">
        <w:trPr>
          <w:jc w:val="center"/>
        </w:trPr>
        <w:tc>
          <w:tcPr>
            <w:tcW w:w="3261" w:type="dxa"/>
            <w:tcBorders>
              <w:top w:val="nil"/>
              <w:left w:val="nil"/>
              <w:bottom w:val="nil"/>
              <w:right w:val="nil"/>
            </w:tcBorders>
          </w:tcPr>
          <w:p w14:paraId="32F0AA70" w14:textId="44F4F432" w:rsidR="003B168C" w:rsidRDefault="003B168C" w:rsidP="00885A2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LEASES</w:t>
            </w:r>
          </w:p>
        </w:tc>
        <w:tc>
          <w:tcPr>
            <w:tcW w:w="2268" w:type="dxa"/>
            <w:tcBorders>
              <w:top w:val="nil"/>
              <w:left w:val="nil"/>
              <w:bottom w:val="nil"/>
              <w:right w:val="nil"/>
            </w:tcBorders>
          </w:tcPr>
          <w:p w14:paraId="55C74F3F" w14:textId="7A6A42AF" w:rsidR="003B168C" w:rsidRDefault="00D6189F" w:rsidP="00885A2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0.017**</w:t>
            </w:r>
          </w:p>
        </w:tc>
      </w:tr>
      <w:tr w:rsidR="003B168C" w14:paraId="6225D69D" w14:textId="77777777" w:rsidTr="003B168C">
        <w:trPr>
          <w:jc w:val="center"/>
        </w:trPr>
        <w:tc>
          <w:tcPr>
            <w:tcW w:w="3261" w:type="dxa"/>
            <w:tcBorders>
              <w:top w:val="nil"/>
              <w:left w:val="nil"/>
              <w:bottom w:val="nil"/>
              <w:right w:val="nil"/>
            </w:tcBorders>
          </w:tcPr>
          <w:p w14:paraId="0380C51F" w14:textId="77777777" w:rsidR="003B168C" w:rsidRDefault="003B168C" w:rsidP="00885A25">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7E16F08D" w14:textId="598D2949" w:rsidR="003B168C" w:rsidRDefault="00D6189F" w:rsidP="00885A2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(2.35)</w:t>
            </w:r>
          </w:p>
        </w:tc>
      </w:tr>
      <w:tr w:rsidR="003B168C" w14:paraId="597AAC0B" w14:textId="77777777" w:rsidTr="003B168C">
        <w:trPr>
          <w:jc w:val="center"/>
        </w:trPr>
        <w:tc>
          <w:tcPr>
            <w:tcW w:w="3261" w:type="dxa"/>
            <w:tcBorders>
              <w:top w:val="nil"/>
              <w:left w:val="nil"/>
              <w:bottom w:val="nil"/>
              <w:right w:val="nil"/>
            </w:tcBorders>
          </w:tcPr>
          <w:p w14:paraId="60A72577" w14:textId="2E9F9299" w:rsidR="003B168C" w:rsidRDefault="003B168C" w:rsidP="00885A2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PENSIONS</w:t>
            </w:r>
          </w:p>
        </w:tc>
        <w:tc>
          <w:tcPr>
            <w:tcW w:w="2268" w:type="dxa"/>
            <w:tcBorders>
              <w:top w:val="nil"/>
              <w:left w:val="nil"/>
              <w:bottom w:val="nil"/>
              <w:right w:val="nil"/>
            </w:tcBorders>
          </w:tcPr>
          <w:p w14:paraId="07553DAC" w14:textId="1AE6164D" w:rsidR="003B168C" w:rsidRDefault="00D6189F" w:rsidP="00885A2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-0.008</w:t>
            </w:r>
          </w:p>
        </w:tc>
      </w:tr>
      <w:tr w:rsidR="003B168C" w14:paraId="493BB1F6" w14:textId="77777777" w:rsidTr="003B168C">
        <w:trPr>
          <w:jc w:val="center"/>
        </w:trPr>
        <w:tc>
          <w:tcPr>
            <w:tcW w:w="3261" w:type="dxa"/>
            <w:tcBorders>
              <w:top w:val="nil"/>
              <w:left w:val="nil"/>
              <w:bottom w:val="nil"/>
              <w:right w:val="nil"/>
            </w:tcBorders>
          </w:tcPr>
          <w:p w14:paraId="52270A25" w14:textId="77777777" w:rsidR="003B168C" w:rsidRDefault="003B168C" w:rsidP="00885A25">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3EBD19B7" w14:textId="07F243FE" w:rsidR="003B168C" w:rsidRDefault="00D6189F" w:rsidP="00885A2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(-0.81)</w:t>
            </w:r>
          </w:p>
        </w:tc>
      </w:tr>
      <w:tr w:rsidR="003B168C" w14:paraId="5967E51E" w14:textId="77777777" w:rsidTr="003B168C">
        <w:trPr>
          <w:jc w:val="center"/>
        </w:trPr>
        <w:tc>
          <w:tcPr>
            <w:tcW w:w="3261" w:type="dxa"/>
            <w:tcBorders>
              <w:top w:val="nil"/>
              <w:left w:val="nil"/>
              <w:bottom w:val="nil"/>
              <w:right w:val="nil"/>
            </w:tcBorders>
          </w:tcPr>
          <w:p w14:paraId="12270D33" w14:textId="3A1E3FC9" w:rsidR="003B168C" w:rsidRDefault="003B168C" w:rsidP="00885A2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SB_PAYMENTS</w:t>
            </w:r>
          </w:p>
        </w:tc>
        <w:tc>
          <w:tcPr>
            <w:tcW w:w="2268" w:type="dxa"/>
            <w:tcBorders>
              <w:top w:val="nil"/>
              <w:left w:val="nil"/>
              <w:bottom w:val="nil"/>
              <w:right w:val="nil"/>
            </w:tcBorders>
          </w:tcPr>
          <w:p w14:paraId="7F322767" w14:textId="74272DB4" w:rsidR="003B168C" w:rsidRDefault="00D6189F" w:rsidP="00885A2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0.012</w:t>
            </w:r>
          </w:p>
        </w:tc>
      </w:tr>
      <w:tr w:rsidR="003B168C" w14:paraId="2640EC0F" w14:textId="77777777" w:rsidTr="003B168C">
        <w:trPr>
          <w:jc w:val="center"/>
        </w:trPr>
        <w:tc>
          <w:tcPr>
            <w:tcW w:w="3261" w:type="dxa"/>
            <w:tcBorders>
              <w:top w:val="nil"/>
              <w:left w:val="nil"/>
              <w:bottom w:val="nil"/>
              <w:right w:val="nil"/>
            </w:tcBorders>
          </w:tcPr>
          <w:p w14:paraId="01CD8CBD" w14:textId="77777777" w:rsidR="003B168C" w:rsidRDefault="003B168C" w:rsidP="00885A25">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459CE429" w14:textId="1E1148B4" w:rsidR="003B168C" w:rsidRDefault="00D6189F" w:rsidP="00885A2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(1.18)</w:t>
            </w:r>
          </w:p>
        </w:tc>
      </w:tr>
      <w:tr w:rsidR="003B168C" w14:paraId="1B5C3066" w14:textId="77777777" w:rsidTr="003B168C">
        <w:trPr>
          <w:jc w:val="center"/>
        </w:trPr>
        <w:tc>
          <w:tcPr>
            <w:tcW w:w="3261" w:type="dxa"/>
            <w:tcBorders>
              <w:top w:val="nil"/>
              <w:left w:val="nil"/>
              <w:bottom w:val="nil"/>
              <w:right w:val="nil"/>
            </w:tcBorders>
          </w:tcPr>
          <w:p w14:paraId="23ACB5AC" w14:textId="0A6D2315" w:rsidR="003B168C" w:rsidRDefault="003B168C" w:rsidP="00885A2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TAXATION</w:t>
            </w:r>
          </w:p>
        </w:tc>
        <w:tc>
          <w:tcPr>
            <w:tcW w:w="2268" w:type="dxa"/>
            <w:tcBorders>
              <w:top w:val="nil"/>
              <w:left w:val="nil"/>
              <w:bottom w:val="nil"/>
              <w:right w:val="nil"/>
            </w:tcBorders>
          </w:tcPr>
          <w:p w14:paraId="33C24022" w14:textId="181EF40A" w:rsidR="003B168C" w:rsidRDefault="00D6189F" w:rsidP="00885A2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0.015</w:t>
            </w:r>
          </w:p>
        </w:tc>
      </w:tr>
      <w:tr w:rsidR="003B168C" w14:paraId="378718ED" w14:textId="77777777" w:rsidTr="003B168C">
        <w:trPr>
          <w:jc w:val="center"/>
        </w:trPr>
        <w:tc>
          <w:tcPr>
            <w:tcW w:w="3261" w:type="dxa"/>
            <w:tcBorders>
              <w:top w:val="nil"/>
              <w:left w:val="nil"/>
              <w:bottom w:val="nil"/>
              <w:right w:val="nil"/>
            </w:tcBorders>
          </w:tcPr>
          <w:p w14:paraId="3AB977FF" w14:textId="77777777" w:rsidR="003B168C" w:rsidRDefault="003B168C" w:rsidP="00885A25">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783D3B4A" w14:textId="7684E485" w:rsidR="003B168C" w:rsidRDefault="00D6189F" w:rsidP="00885A2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(1.35)</w:t>
            </w:r>
          </w:p>
        </w:tc>
      </w:tr>
      <w:tr w:rsidR="003B168C" w14:paraId="2F77C821" w14:textId="77777777" w:rsidTr="003B168C">
        <w:trPr>
          <w:jc w:val="center"/>
        </w:trPr>
        <w:tc>
          <w:tcPr>
            <w:tcW w:w="3261" w:type="dxa"/>
            <w:tcBorders>
              <w:top w:val="nil"/>
              <w:left w:val="nil"/>
              <w:bottom w:val="nil"/>
              <w:right w:val="nil"/>
            </w:tcBorders>
          </w:tcPr>
          <w:p w14:paraId="54D41F60" w14:textId="43334215" w:rsidR="003B168C" w:rsidRDefault="003B168C" w:rsidP="00885A2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GOODWILL</w:t>
            </w:r>
          </w:p>
        </w:tc>
        <w:tc>
          <w:tcPr>
            <w:tcW w:w="2268" w:type="dxa"/>
            <w:tcBorders>
              <w:top w:val="nil"/>
              <w:left w:val="nil"/>
              <w:bottom w:val="nil"/>
              <w:right w:val="nil"/>
            </w:tcBorders>
          </w:tcPr>
          <w:p w14:paraId="68C49990" w14:textId="633FA7B1" w:rsidR="003B168C" w:rsidRDefault="00D6189F" w:rsidP="00885A2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-0.022***</w:t>
            </w:r>
          </w:p>
        </w:tc>
      </w:tr>
      <w:tr w:rsidR="003B168C" w14:paraId="02323D28" w14:textId="77777777" w:rsidTr="003B168C">
        <w:trPr>
          <w:jc w:val="center"/>
        </w:trPr>
        <w:tc>
          <w:tcPr>
            <w:tcW w:w="3261" w:type="dxa"/>
            <w:tcBorders>
              <w:top w:val="nil"/>
              <w:left w:val="nil"/>
              <w:bottom w:val="nil"/>
              <w:right w:val="nil"/>
            </w:tcBorders>
          </w:tcPr>
          <w:p w14:paraId="21457268" w14:textId="77777777" w:rsidR="003B168C" w:rsidRDefault="003B168C" w:rsidP="00885A25">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0042C026" w14:textId="1C11285D" w:rsidR="003B168C" w:rsidRDefault="00D6189F" w:rsidP="00885A2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(-2.69)</w:t>
            </w:r>
          </w:p>
        </w:tc>
      </w:tr>
      <w:tr w:rsidR="003B168C" w14:paraId="18BCC0A2" w14:textId="77777777" w:rsidTr="003B168C">
        <w:trPr>
          <w:jc w:val="center"/>
        </w:trPr>
        <w:tc>
          <w:tcPr>
            <w:tcW w:w="3261" w:type="dxa"/>
            <w:tcBorders>
              <w:top w:val="nil"/>
              <w:left w:val="nil"/>
              <w:bottom w:val="nil"/>
              <w:right w:val="nil"/>
            </w:tcBorders>
          </w:tcPr>
          <w:p w14:paraId="5C60D037" w14:textId="0200B315" w:rsidR="003B168C" w:rsidRDefault="003B168C" w:rsidP="00885A2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FIN_INSTRUMENTS</w:t>
            </w:r>
          </w:p>
        </w:tc>
        <w:tc>
          <w:tcPr>
            <w:tcW w:w="2268" w:type="dxa"/>
            <w:tcBorders>
              <w:top w:val="nil"/>
              <w:left w:val="nil"/>
              <w:bottom w:val="nil"/>
              <w:right w:val="nil"/>
            </w:tcBorders>
          </w:tcPr>
          <w:p w14:paraId="0920C007" w14:textId="59464350" w:rsidR="003B168C" w:rsidRDefault="00D6189F" w:rsidP="00885A2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-0.008</w:t>
            </w:r>
          </w:p>
        </w:tc>
      </w:tr>
      <w:tr w:rsidR="003B168C" w14:paraId="4034AF75" w14:textId="77777777" w:rsidTr="003B168C">
        <w:trPr>
          <w:jc w:val="center"/>
        </w:trPr>
        <w:tc>
          <w:tcPr>
            <w:tcW w:w="3261" w:type="dxa"/>
            <w:tcBorders>
              <w:top w:val="nil"/>
              <w:left w:val="nil"/>
              <w:bottom w:val="nil"/>
              <w:right w:val="nil"/>
            </w:tcBorders>
          </w:tcPr>
          <w:p w14:paraId="1C36B995" w14:textId="77777777" w:rsidR="003B168C" w:rsidRDefault="003B168C" w:rsidP="00885A25">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7A7A3B7A" w14:textId="7791317F" w:rsidR="003B168C" w:rsidRDefault="00D6189F" w:rsidP="00885A2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(-0.81)</w:t>
            </w:r>
          </w:p>
        </w:tc>
      </w:tr>
      <w:tr w:rsidR="003B168C" w14:paraId="608AD83D" w14:textId="77777777" w:rsidTr="003B168C">
        <w:trPr>
          <w:jc w:val="center"/>
        </w:trPr>
        <w:tc>
          <w:tcPr>
            <w:tcW w:w="3261" w:type="dxa"/>
            <w:tcBorders>
              <w:top w:val="nil"/>
              <w:left w:val="nil"/>
              <w:bottom w:val="nil"/>
              <w:right w:val="nil"/>
            </w:tcBorders>
          </w:tcPr>
          <w:p w14:paraId="0B5611A0" w14:textId="77777777" w:rsidR="003B168C" w:rsidRDefault="003B168C" w:rsidP="00885A25">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7FEEEF34" w14:textId="77777777" w:rsidR="003B168C" w:rsidRDefault="003B168C" w:rsidP="00885A25">
            <w:pPr>
              <w:widowControl w:val="0"/>
              <w:autoSpaceDE w:val="0"/>
              <w:autoSpaceDN w:val="0"/>
              <w:adjustRightInd w:val="0"/>
              <w:spacing w:after="0" w:line="240" w:lineRule="auto"/>
              <w:jc w:val="center"/>
              <w:rPr>
                <w:rFonts w:ascii="Times New Roman" w:hAnsi="Times New Roman" w:cs="Times New Roman"/>
                <w:sz w:val="24"/>
                <w:szCs w:val="24"/>
              </w:rPr>
            </w:pPr>
          </w:p>
        </w:tc>
      </w:tr>
      <w:tr w:rsidR="003B168C" w14:paraId="381DC9D6" w14:textId="77777777" w:rsidTr="003B168C">
        <w:trPr>
          <w:jc w:val="center"/>
        </w:trPr>
        <w:tc>
          <w:tcPr>
            <w:tcW w:w="3261" w:type="dxa"/>
            <w:tcBorders>
              <w:top w:val="nil"/>
              <w:left w:val="nil"/>
              <w:bottom w:val="nil"/>
              <w:right w:val="nil"/>
            </w:tcBorders>
          </w:tcPr>
          <w:p w14:paraId="499680CA" w14:textId="77777777" w:rsidR="003B168C" w:rsidRDefault="003B168C" w:rsidP="00885A2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Observations</w:t>
            </w:r>
          </w:p>
        </w:tc>
        <w:tc>
          <w:tcPr>
            <w:tcW w:w="2268" w:type="dxa"/>
            <w:tcBorders>
              <w:top w:val="nil"/>
              <w:left w:val="nil"/>
              <w:bottom w:val="nil"/>
              <w:right w:val="nil"/>
            </w:tcBorders>
          </w:tcPr>
          <w:p w14:paraId="2DD79D0D" w14:textId="77777777" w:rsidR="003B168C" w:rsidRDefault="003B168C" w:rsidP="00885A2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76</w:t>
            </w:r>
          </w:p>
        </w:tc>
      </w:tr>
      <w:tr w:rsidR="003B168C" w14:paraId="36E9CE81" w14:textId="77777777" w:rsidTr="003B168C">
        <w:trPr>
          <w:jc w:val="center"/>
        </w:trPr>
        <w:tc>
          <w:tcPr>
            <w:tcW w:w="3261" w:type="dxa"/>
            <w:tcBorders>
              <w:top w:val="nil"/>
              <w:left w:val="nil"/>
              <w:bottom w:val="nil"/>
              <w:right w:val="nil"/>
            </w:tcBorders>
          </w:tcPr>
          <w:p w14:paraId="69D4D59B" w14:textId="202C7BD7" w:rsidR="003B168C" w:rsidRDefault="003B168C" w:rsidP="00885A25">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nil"/>
              <w:left w:val="nil"/>
              <w:bottom w:val="nil"/>
              <w:right w:val="nil"/>
            </w:tcBorders>
          </w:tcPr>
          <w:p w14:paraId="2513845C" w14:textId="6597B015" w:rsidR="003B168C" w:rsidRDefault="003B168C" w:rsidP="00885A25">
            <w:pPr>
              <w:widowControl w:val="0"/>
              <w:autoSpaceDE w:val="0"/>
              <w:autoSpaceDN w:val="0"/>
              <w:adjustRightInd w:val="0"/>
              <w:spacing w:after="0" w:line="240" w:lineRule="auto"/>
              <w:jc w:val="center"/>
              <w:rPr>
                <w:rFonts w:ascii="Times New Roman" w:hAnsi="Times New Roman" w:cs="Times New Roman"/>
                <w:sz w:val="24"/>
                <w:szCs w:val="24"/>
              </w:rPr>
            </w:pPr>
          </w:p>
        </w:tc>
      </w:tr>
      <w:tr w:rsidR="003B168C" w14:paraId="63E6B3A8" w14:textId="77777777" w:rsidTr="003B168C">
        <w:trPr>
          <w:jc w:val="center"/>
        </w:trPr>
        <w:tc>
          <w:tcPr>
            <w:tcW w:w="3261" w:type="dxa"/>
            <w:tcBorders>
              <w:top w:val="nil"/>
              <w:left w:val="nil"/>
              <w:bottom w:val="nil"/>
              <w:right w:val="nil"/>
            </w:tcBorders>
          </w:tcPr>
          <w:p w14:paraId="795D53DB" w14:textId="3776F390" w:rsidR="003B168C" w:rsidRDefault="003B168C" w:rsidP="00885A2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Firm FE</w:t>
            </w:r>
          </w:p>
        </w:tc>
        <w:tc>
          <w:tcPr>
            <w:tcW w:w="2268" w:type="dxa"/>
            <w:tcBorders>
              <w:top w:val="nil"/>
              <w:left w:val="nil"/>
              <w:bottom w:val="nil"/>
              <w:right w:val="nil"/>
            </w:tcBorders>
          </w:tcPr>
          <w:p w14:paraId="0C66EEE0" w14:textId="67C08731" w:rsidR="003B168C" w:rsidRDefault="003B168C" w:rsidP="00885A2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No</w:t>
            </w:r>
          </w:p>
        </w:tc>
      </w:tr>
      <w:tr w:rsidR="003B168C" w14:paraId="4FFFBA48" w14:textId="77777777" w:rsidTr="003B168C">
        <w:trPr>
          <w:jc w:val="center"/>
        </w:trPr>
        <w:tc>
          <w:tcPr>
            <w:tcW w:w="3261" w:type="dxa"/>
            <w:tcBorders>
              <w:top w:val="nil"/>
              <w:left w:val="nil"/>
              <w:bottom w:val="nil"/>
              <w:right w:val="nil"/>
            </w:tcBorders>
          </w:tcPr>
          <w:p w14:paraId="42A404A1" w14:textId="77777777" w:rsidR="003B168C" w:rsidRDefault="003B168C" w:rsidP="00885A2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Year FE</w:t>
            </w:r>
          </w:p>
        </w:tc>
        <w:tc>
          <w:tcPr>
            <w:tcW w:w="2268" w:type="dxa"/>
            <w:tcBorders>
              <w:top w:val="nil"/>
              <w:left w:val="nil"/>
              <w:bottom w:val="nil"/>
              <w:right w:val="nil"/>
            </w:tcBorders>
          </w:tcPr>
          <w:p w14:paraId="29525F32" w14:textId="77777777" w:rsidR="003B168C" w:rsidRDefault="003B168C" w:rsidP="00885A2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Included</w:t>
            </w:r>
          </w:p>
        </w:tc>
      </w:tr>
      <w:tr w:rsidR="003B168C" w14:paraId="45DFB417" w14:textId="77777777" w:rsidTr="003B168C">
        <w:tblPrEx>
          <w:tblBorders>
            <w:bottom w:val="single" w:sz="6" w:space="0" w:color="auto"/>
          </w:tblBorders>
        </w:tblPrEx>
        <w:trPr>
          <w:jc w:val="center"/>
        </w:trPr>
        <w:tc>
          <w:tcPr>
            <w:tcW w:w="3261" w:type="dxa"/>
            <w:tcBorders>
              <w:top w:val="nil"/>
              <w:left w:val="nil"/>
              <w:bottom w:val="single" w:sz="6" w:space="0" w:color="auto"/>
              <w:right w:val="nil"/>
            </w:tcBorders>
          </w:tcPr>
          <w:p w14:paraId="209A3CBE" w14:textId="77777777" w:rsidR="003B168C" w:rsidRDefault="003B168C" w:rsidP="00885A2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Adj. R-squared</w:t>
            </w:r>
          </w:p>
        </w:tc>
        <w:tc>
          <w:tcPr>
            <w:tcW w:w="2268" w:type="dxa"/>
            <w:tcBorders>
              <w:top w:val="nil"/>
              <w:left w:val="nil"/>
              <w:bottom w:val="single" w:sz="6" w:space="0" w:color="auto"/>
              <w:right w:val="nil"/>
            </w:tcBorders>
          </w:tcPr>
          <w:p w14:paraId="5818FDAB" w14:textId="1824C263" w:rsidR="003B168C" w:rsidRDefault="003B168C" w:rsidP="00885A2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w:t>
            </w:r>
            <w:r w:rsidR="00D6189F">
              <w:rPr>
                <w:rFonts w:ascii="Times New Roman" w:hAnsi="Times New Roman" w:cs="Times New Roman"/>
                <w:sz w:val="24"/>
                <w:szCs w:val="24"/>
              </w:rPr>
              <w:t>19</w:t>
            </w:r>
          </w:p>
        </w:tc>
      </w:tr>
    </w:tbl>
    <w:p w14:paraId="6A05A0E6" w14:textId="75089139" w:rsidR="00AE251F" w:rsidRDefault="00AE251F" w:rsidP="00AE251F">
      <w:pPr>
        <w:pBdr>
          <w:bottom w:val="single" w:sz="12" w:space="1" w:color="auto"/>
        </w:pBdr>
        <w:rPr>
          <w:rFonts w:ascii="Times New Roman" w:hAnsi="Times New Roman"/>
          <w:sz w:val="24"/>
          <w:szCs w:val="24"/>
        </w:rPr>
      </w:pPr>
    </w:p>
    <w:p w14:paraId="00AC13B6" w14:textId="0624D67C" w:rsidR="006F47F2" w:rsidRDefault="006F47F2" w:rsidP="00AE251F">
      <w:pPr>
        <w:rPr>
          <w:rFonts w:ascii="Times New Roman" w:hAnsi="Times New Roman"/>
          <w:sz w:val="24"/>
          <w:szCs w:val="24"/>
        </w:rPr>
      </w:pPr>
    </w:p>
    <w:p w14:paraId="4E450B9E" w14:textId="344B2CB3" w:rsidR="006F47F2" w:rsidRDefault="006F47F2" w:rsidP="00AE251F">
      <w:pPr>
        <w:rPr>
          <w:rFonts w:ascii="Times New Roman" w:hAnsi="Times New Roman"/>
          <w:sz w:val="24"/>
          <w:szCs w:val="24"/>
        </w:rPr>
      </w:pPr>
    </w:p>
    <w:p w14:paraId="42FE95D6" w14:textId="368EF04B" w:rsidR="006F47F2" w:rsidRDefault="006F47F2" w:rsidP="00AE251F">
      <w:pPr>
        <w:rPr>
          <w:rFonts w:ascii="Times New Roman" w:hAnsi="Times New Roman"/>
          <w:sz w:val="24"/>
          <w:szCs w:val="24"/>
        </w:rPr>
      </w:pPr>
    </w:p>
    <w:p w14:paraId="24A53EB2" w14:textId="531010BE" w:rsidR="006F47F2" w:rsidRDefault="006F47F2" w:rsidP="00AE251F">
      <w:pPr>
        <w:rPr>
          <w:rFonts w:ascii="Times New Roman" w:hAnsi="Times New Roman"/>
          <w:sz w:val="24"/>
          <w:szCs w:val="24"/>
        </w:rPr>
      </w:pPr>
    </w:p>
    <w:p w14:paraId="2A5F184D" w14:textId="63EF8DAA" w:rsidR="006F47F2" w:rsidRDefault="006F47F2" w:rsidP="00AE251F">
      <w:pPr>
        <w:rPr>
          <w:rFonts w:ascii="Times New Roman" w:hAnsi="Times New Roman"/>
          <w:sz w:val="24"/>
          <w:szCs w:val="24"/>
        </w:rPr>
      </w:pPr>
    </w:p>
    <w:p w14:paraId="781A93F0" w14:textId="74173AB9" w:rsidR="006F47F2" w:rsidRDefault="006F47F2" w:rsidP="00AE251F">
      <w:pPr>
        <w:rPr>
          <w:rFonts w:ascii="Times New Roman" w:hAnsi="Times New Roman"/>
          <w:sz w:val="24"/>
          <w:szCs w:val="24"/>
        </w:rPr>
      </w:pPr>
    </w:p>
    <w:p w14:paraId="2801E440" w14:textId="77777777" w:rsidR="00CB1894" w:rsidRDefault="00CB1894" w:rsidP="006F47F2">
      <w:pPr>
        <w:spacing w:line="240" w:lineRule="auto"/>
        <w:contextualSpacing/>
        <w:jc w:val="center"/>
        <w:rPr>
          <w:rFonts w:ascii="Times New Roman" w:hAnsi="Times New Roman"/>
          <w:b/>
          <w:sz w:val="24"/>
          <w:szCs w:val="24"/>
        </w:rPr>
      </w:pPr>
    </w:p>
    <w:p w14:paraId="6ACB7972" w14:textId="77777777" w:rsidR="00CB1894" w:rsidRDefault="00CB1894" w:rsidP="006F47F2">
      <w:pPr>
        <w:spacing w:line="240" w:lineRule="auto"/>
        <w:contextualSpacing/>
        <w:jc w:val="center"/>
        <w:rPr>
          <w:rFonts w:ascii="Times New Roman" w:hAnsi="Times New Roman"/>
          <w:b/>
          <w:sz w:val="24"/>
          <w:szCs w:val="24"/>
        </w:rPr>
      </w:pPr>
    </w:p>
    <w:p w14:paraId="31B95F13" w14:textId="4885A67B" w:rsidR="006F47F2" w:rsidRDefault="006F47F2" w:rsidP="006F47F2">
      <w:pPr>
        <w:spacing w:line="240" w:lineRule="auto"/>
        <w:contextualSpacing/>
        <w:jc w:val="center"/>
        <w:rPr>
          <w:rFonts w:ascii="Times New Roman" w:hAnsi="Times New Roman"/>
          <w:b/>
          <w:sz w:val="24"/>
          <w:szCs w:val="24"/>
        </w:rPr>
      </w:pPr>
      <w:r>
        <w:rPr>
          <w:rFonts w:ascii="Times New Roman" w:hAnsi="Times New Roman"/>
          <w:b/>
          <w:sz w:val="24"/>
          <w:szCs w:val="24"/>
        </w:rPr>
        <w:t>Table 1</w:t>
      </w:r>
      <w:r w:rsidR="004827D5">
        <w:rPr>
          <w:rFonts w:ascii="Times New Roman" w:hAnsi="Times New Roman"/>
          <w:b/>
          <w:sz w:val="24"/>
          <w:szCs w:val="24"/>
        </w:rPr>
        <w:t>2</w:t>
      </w:r>
      <w:r>
        <w:rPr>
          <w:rFonts w:ascii="Times New Roman" w:hAnsi="Times New Roman"/>
          <w:b/>
          <w:sz w:val="24"/>
          <w:szCs w:val="24"/>
        </w:rPr>
        <w:t xml:space="preserve"> </w:t>
      </w:r>
      <w:r w:rsidR="009E6656">
        <w:rPr>
          <w:rFonts w:ascii="Times New Roman" w:hAnsi="Times New Roman"/>
          <w:b/>
          <w:sz w:val="24"/>
          <w:szCs w:val="24"/>
        </w:rPr>
        <w:t>–</w:t>
      </w:r>
      <w:r>
        <w:rPr>
          <w:rFonts w:ascii="Times New Roman" w:hAnsi="Times New Roman"/>
          <w:b/>
          <w:sz w:val="24"/>
          <w:szCs w:val="24"/>
        </w:rPr>
        <w:t xml:space="preserve"> Continued</w:t>
      </w:r>
    </w:p>
    <w:p w14:paraId="2F81185F" w14:textId="77777777" w:rsidR="006F47F2" w:rsidRPr="000E6E26" w:rsidRDefault="006F47F2" w:rsidP="006F47F2">
      <w:pPr>
        <w:pBdr>
          <w:bottom w:val="single" w:sz="12" w:space="1" w:color="auto"/>
        </w:pBdr>
        <w:spacing w:line="240" w:lineRule="auto"/>
        <w:contextualSpacing/>
        <w:jc w:val="center"/>
        <w:rPr>
          <w:rFonts w:ascii="Times New Roman" w:hAnsi="Times New Roman"/>
          <w:b/>
          <w:sz w:val="24"/>
          <w:szCs w:val="24"/>
          <w:vertAlign w:val="superscript"/>
        </w:rPr>
      </w:pPr>
      <w:r>
        <w:rPr>
          <w:rFonts w:ascii="Times New Roman" w:hAnsi="Times New Roman"/>
          <w:b/>
          <w:sz w:val="24"/>
          <w:szCs w:val="24"/>
        </w:rPr>
        <w:t>Bid Ask Spreads</w:t>
      </w:r>
      <w:r>
        <w:rPr>
          <w:rFonts w:ascii="Times New Roman" w:hAnsi="Times New Roman"/>
          <w:b/>
          <w:sz w:val="24"/>
          <w:szCs w:val="24"/>
          <w:vertAlign w:val="superscript"/>
        </w:rPr>
        <w:t>a</w:t>
      </w:r>
    </w:p>
    <w:p w14:paraId="2355C41A" w14:textId="77777777" w:rsidR="006F47F2" w:rsidRDefault="006F47F2" w:rsidP="00F7035D">
      <w:pPr>
        <w:tabs>
          <w:tab w:val="left" w:pos="720"/>
        </w:tabs>
        <w:spacing w:after="0" w:line="240" w:lineRule="auto"/>
        <w:jc w:val="both"/>
        <w:rPr>
          <w:rFonts w:ascii="Times New Roman" w:hAnsi="Times New Roman"/>
          <w:sz w:val="24"/>
          <w:szCs w:val="24"/>
        </w:rPr>
      </w:pPr>
      <w:r w:rsidRPr="0080751D">
        <w:rPr>
          <w:rFonts w:ascii="Times New Roman" w:hAnsi="Times New Roman"/>
          <w:b/>
          <w:vertAlign w:val="superscript"/>
        </w:rPr>
        <w:t>a</w:t>
      </w:r>
      <w:r w:rsidRPr="0080751D">
        <w:rPr>
          <w:rFonts w:ascii="Times New Roman" w:hAnsi="Times New Roman"/>
          <w:sz w:val="24"/>
          <w:szCs w:val="24"/>
        </w:rPr>
        <w:t xml:space="preserve">This table </w:t>
      </w:r>
      <w:r>
        <w:rPr>
          <w:rFonts w:ascii="Times New Roman" w:hAnsi="Times New Roman"/>
          <w:sz w:val="24"/>
          <w:szCs w:val="24"/>
        </w:rPr>
        <w:t>reports the coefficient</w:t>
      </w:r>
      <w:r w:rsidRPr="0080751D">
        <w:rPr>
          <w:rFonts w:ascii="Times New Roman" w:hAnsi="Times New Roman"/>
          <w:sz w:val="24"/>
          <w:szCs w:val="24"/>
        </w:rPr>
        <w:t xml:space="preserve"> estimates</w:t>
      </w:r>
      <w:r>
        <w:rPr>
          <w:rFonts w:ascii="Times New Roman" w:hAnsi="Times New Roman"/>
          <w:sz w:val="24"/>
          <w:szCs w:val="24"/>
        </w:rPr>
        <w:t xml:space="preserve"> and t-statistics</w:t>
      </w:r>
      <w:r w:rsidRPr="0080751D">
        <w:rPr>
          <w:rFonts w:ascii="Times New Roman" w:hAnsi="Times New Roman"/>
          <w:sz w:val="24"/>
          <w:szCs w:val="24"/>
        </w:rPr>
        <w:t xml:space="preserve"> from the follo</w:t>
      </w:r>
      <w:r>
        <w:rPr>
          <w:rFonts w:ascii="Times New Roman" w:hAnsi="Times New Roman"/>
          <w:sz w:val="24"/>
          <w:szCs w:val="24"/>
        </w:rPr>
        <w:t xml:space="preserve">wing regression: </w:t>
      </w:r>
    </w:p>
    <w:p w14:paraId="0D5BACAA" w14:textId="1A67EEC9" w:rsidR="00CB1894" w:rsidRDefault="006F47F2" w:rsidP="00F7035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∆B-A Spread</w:t>
      </w:r>
      <w:r>
        <w:rPr>
          <w:rFonts w:ascii="Times New Roman" w:hAnsi="Times New Roman" w:cs="Times New Roman"/>
          <w:sz w:val="24"/>
          <w:szCs w:val="24"/>
          <w:vertAlign w:val="subscript"/>
        </w:rPr>
        <w:t>i</w:t>
      </w:r>
      <w:r>
        <w:rPr>
          <w:rFonts w:ascii="Times New Roman" w:hAnsi="Times New Roman" w:cs="Times New Roman"/>
          <w:sz w:val="24"/>
          <w:szCs w:val="24"/>
        </w:rPr>
        <w:t xml:space="preserve"> = </w:t>
      </w:r>
      <w:r w:rsidR="00F327C9">
        <w:rPr>
          <w:rFonts w:ascii="Symbol" w:hAnsi="Symbol" w:cs="Times New Roman"/>
          <w:sz w:val="24"/>
          <w:szCs w:val="24"/>
        </w:rPr>
        <w:t></w:t>
      </w:r>
      <w:r w:rsidRPr="00DF2E72">
        <w:rPr>
          <w:rFonts w:ascii="Times New Roman" w:hAnsi="Times New Roman" w:cs="Times New Roman"/>
          <w:sz w:val="24"/>
          <w:szCs w:val="24"/>
          <w:vertAlign w:val="subscript"/>
        </w:rPr>
        <w:t xml:space="preserve">0 </w:t>
      </w:r>
      <w:r>
        <w:rPr>
          <w:rFonts w:ascii="Times New Roman" w:hAnsi="Times New Roman" w:cs="Times New Roman"/>
          <w:sz w:val="24"/>
          <w:szCs w:val="24"/>
        </w:rPr>
        <w:t xml:space="preserve">+ </w:t>
      </w:r>
      <w:r>
        <w:rPr>
          <w:rFonts w:ascii="Symbol" w:hAnsi="Symbol" w:cs="Times New Roman"/>
          <w:sz w:val="24"/>
          <w:szCs w:val="24"/>
        </w:rPr>
        <w:t></w:t>
      </w:r>
      <w:r>
        <w:rPr>
          <w:rFonts w:ascii="Times New Roman" w:hAnsi="Times New Roman" w:cs="Times New Roman"/>
          <w:sz w:val="24"/>
          <w:szCs w:val="24"/>
          <w:vertAlign w:val="subscript"/>
        </w:rPr>
        <w:t>1</w:t>
      </w:r>
      <w:r>
        <w:rPr>
          <w:rFonts w:ascii="Times New Roman" w:hAnsi="Times New Roman" w:cs="Times New Roman"/>
          <w:sz w:val="24"/>
          <w:szCs w:val="24"/>
        </w:rPr>
        <w:t xml:space="preserve">SWITCH </w:t>
      </w:r>
      <w:r w:rsidR="00CB1894">
        <w:rPr>
          <w:rFonts w:ascii="Times New Roman" w:hAnsi="Times New Roman" w:cs="Times New Roman"/>
          <w:sz w:val="24"/>
          <w:szCs w:val="24"/>
        </w:rPr>
        <w:t>+ ∑</w:t>
      </w:r>
      <w:r w:rsidR="00CB1894" w:rsidRPr="0012154E">
        <w:rPr>
          <w:rFonts w:ascii="Times New Roman" w:hAnsi="Times New Roman" w:cs="Times New Roman"/>
          <w:sz w:val="24"/>
          <w:szCs w:val="24"/>
          <w:vertAlign w:val="subscript"/>
        </w:rPr>
        <w:t>i</w:t>
      </w:r>
      <w:r w:rsidR="00CB1894">
        <w:rPr>
          <w:rFonts w:ascii="Symbol" w:hAnsi="Symbol" w:cs="Times New Roman"/>
          <w:sz w:val="24"/>
          <w:szCs w:val="24"/>
        </w:rPr>
        <w:sym w:font="Symbol" w:char="F046"/>
      </w:r>
      <w:r w:rsidR="00CB1894">
        <w:rPr>
          <w:rFonts w:ascii="Times New Roman" w:hAnsi="Times New Roman" w:cs="Times New Roman"/>
          <w:sz w:val="24"/>
          <w:szCs w:val="24"/>
          <w:vertAlign w:val="subscript"/>
        </w:rPr>
        <w:t>i</w:t>
      </w:r>
      <w:r w:rsidR="00CB1894">
        <w:rPr>
          <w:rFonts w:ascii="Times New Roman" w:hAnsi="Times New Roman" w:cs="Times New Roman"/>
          <w:sz w:val="24"/>
          <w:szCs w:val="24"/>
        </w:rPr>
        <w:t>Control</w:t>
      </w:r>
      <w:r w:rsidR="00CB1894" w:rsidRPr="0012154E">
        <w:rPr>
          <w:rFonts w:ascii="Times New Roman" w:hAnsi="Times New Roman" w:cs="Times New Roman"/>
          <w:sz w:val="24"/>
          <w:szCs w:val="24"/>
          <w:vertAlign w:val="subscript"/>
        </w:rPr>
        <w:t xml:space="preserve">i </w:t>
      </w:r>
      <w:r w:rsidR="00CB1894">
        <w:rPr>
          <w:rFonts w:ascii="Times New Roman" w:hAnsi="Times New Roman" w:cs="Times New Roman"/>
          <w:sz w:val="24"/>
          <w:szCs w:val="24"/>
        </w:rPr>
        <w:t xml:space="preserve">+ </w:t>
      </w:r>
      <w:r>
        <w:rPr>
          <w:rFonts w:ascii="Times New Roman" w:hAnsi="Times New Roman" w:cs="Times New Roman"/>
          <w:sz w:val="24"/>
          <w:szCs w:val="24"/>
        </w:rPr>
        <w:t>∑</w:t>
      </w:r>
      <w:r w:rsidR="00CB1894">
        <w:rPr>
          <w:rFonts w:ascii="Times New Roman" w:hAnsi="Times New Roman" w:cs="Times New Roman"/>
          <w:sz w:val="24"/>
          <w:szCs w:val="24"/>
          <w:vertAlign w:val="subscript"/>
        </w:rPr>
        <w:t>j</w:t>
      </w:r>
      <w:r w:rsidR="00CB1894">
        <w:rPr>
          <w:rFonts w:ascii="Symbol" w:hAnsi="Symbol" w:cs="Times New Roman"/>
          <w:sz w:val="24"/>
          <w:szCs w:val="24"/>
        </w:rPr>
        <w:t></w:t>
      </w:r>
      <w:r w:rsidR="00CB1894">
        <w:rPr>
          <w:rFonts w:ascii="Times New Roman" w:hAnsi="Times New Roman" w:cs="Times New Roman"/>
          <w:sz w:val="24"/>
          <w:szCs w:val="24"/>
          <w:vertAlign w:val="subscript"/>
        </w:rPr>
        <w:t>j</w:t>
      </w:r>
      <w:r>
        <w:rPr>
          <w:rFonts w:ascii="Times New Roman" w:hAnsi="Times New Roman" w:cs="Times New Roman"/>
          <w:sz w:val="24"/>
          <w:szCs w:val="24"/>
        </w:rPr>
        <w:t>OTH_IFRS_CHG</w:t>
      </w:r>
      <w:r>
        <w:rPr>
          <w:rFonts w:ascii="Times New Roman" w:hAnsi="Times New Roman" w:cs="Times New Roman"/>
          <w:sz w:val="24"/>
          <w:szCs w:val="24"/>
          <w:vertAlign w:val="subscript"/>
        </w:rPr>
        <w:t>i</w:t>
      </w:r>
      <w:r>
        <w:rPr>
          <w:rFonts w:ascii="Times New Roman" w:hAnsi="Times New Roman" w:cs="Times New Roman"/>
          <w:sz w:val="24"/>
          <w:szCs w:val="24"/>
        </w:rPr>
        <w:t xml:space="preserve"> </w:t>
      </w:r>
    </w:p>
    <w:p w14:paraId="2BAB3C6E" w14:textId="24CDFC7A" w:rsidR="006F47F2" w:rsidRDefault="006F47F2" w:rsidP="00F7035D">
      <w:pPr>
        <w:tabs>
          <w:tab w:val="left" w:pos="720"/>
        </w:tabs>
        <w:spacing w:after="0" w:line="240" w:lineRule="auto"/>
        <w:jc w:val="both"/>
        <w:rPr>
          <w:rFonts w:ascii="Symbol" w:hAnsi="Symbol" w:cs="Times New Roman"/>
          <w:sz w:val="24"/>
          <w:szCs w:val="24"/>
        </w:rPr>
      </w:pPr>
      <w:r>
        <w:rPr>
          <w:rFonts w:ascii="Times New Roman" w:hAnsi="Times New Roman" w:cs="Times New Roman"/>
          <w:sz w:val="24"/>
          <w:szCs w:val="24"/>
        </w:rPr>
        <w:t xml:space="preserve">+ year fixed effects + </w:t>
      </w:r>
      <w:r w:rsidRPr="00480C6E">
        <w:rPr>
          <w:rFonts w:ascii="Symbol" w:hAnsi="Symbol" w:cs="Times New Roman"/>
          <w:sz w:val="24"/>
          <w:szCs w:val="24"/>
        </w:rPr>
        <w:t></w:t>
      </w:r>
    </w:p>
    <w:p w14:paraId="54A02C36" w14:textId="77777777" w:rsidR="00CB1894" w:rsidRDefault="00CB1894" w:rsidP="00F7035D">
      <w:pPr>
        <w:tabs>
          <w:tab w:val="left" w:pos="720"/>
        </w:tabs>
        <w:spacing w:after="0" w:line="240" w:lineRule="auto"/>
        <w:jc w:val="both"/>
        <w:rPr>
          <w:rFonts w:ascii="Symbol" w:hAnsi="Symbol" w:cs="Times New Roman"/>
          <w:sz w:val="24"/>
          <w:szCs w:val="24"/>
        </w:rPr>
      </w:pPr>
    </w:p>
    <w:p w14:paraId="5144F51C" w14:textId="574286E8" w:rsidR="002B5121" w:rsidRPr="005137F2" w:rsidRDefault="006F47F2" w:rsidP="00F7035D">
      <w:pPr>
        <w:jc w:val="both"/>
        <w:rPr>
          <w:rFonts w:ascii="Times New Roman" w:hAnsi="Times New Roman" w:cs="Times New Roman"/>
          <w:sz w:val="24"/>
          <w:szCs w:val="24"/>
        </w:rPr>
      </w:pPr>
      <w:r>
        <w:rPr>
          <w:rFonts w:ascii="Times New Roman" w:hAnsi="Times New Roman" w:cs="Times New Roman"/>
          <w:sz w:val="24"/>
          <w:szCs w:val="24"/>
        </w:rPr>
        <w:t>The dependent variable (</w:t>
      </w:r>
      <w:r>
        <w:rPr>
          <w:rFonts w:ascii="Symbol" w:hAnsi="Symbol" w:cs="Times New Roman"/>
          <w:sz w:val="24"/>
          <w:szCs w:val="24"/>
        </w:rPr>
        <w:t></w:t>
      </w:r>
      <w:r>
        <w:rPr>
          <w:rFonts w:ascii="Times New Roman" w:hAnsi="Times New Roman" w:cs="Times New Roman"/>
          <w:sz w:val="24"/>
          <w:szCs w:val="24"/>
        </w:rPr>
        <w:t>B-A Spread</w:t>
      </w:r>
      <w:r>
        <w:rPr>
          <w:rFonts w:ascii="Times New Roman" w:hAnsi="Times New Roman" w:cs="Times New Roman"/>
          <w:sz w:val="24"/>
          <w:szCs w:val="24"/>
          <w:vertAlign w:val="subscript"/>
        </w:rPr>
        <w:t>i</w:t>
      </w:r>
      <w:r>
        <w:rPr>
          <w:rFonts w:ascii="Times New Roman" w:hAnsi="Times New Roman" w:cs="Times New Roman"/>
          <w:sz w:val="24"/>
          <w:szCs w:val="24"/>
        </w:rPr>
        <w:t>) is the change in the bid-ask spread, measured as</w:t>
      </w:r>
      <w:r w:rsidR="006B24DB">
        <w:rPr>
          <w:rFonts w:ascii="Times New Roman" w:hAnsi="Times New Roman" w:cs="Times New Roman"/>
          <w:sz w:val="24"/>
          <w:szCs w:val="24"/>
        </w:rPr>
        <w:t xml:space="preserve"> the</w:t>
      </w:r>
      <w:r w:rsidR="009A566C">
        <w:rPr>
          <w:rFonts w:ascii="Times New Roman" w:hAnsi="Times New Roman" w:cs="Times New Roman"/>
          <w:sz w:val="24"/>
          <w:szCs w:val="24"/>
        </w:rPr>
        <w:t xml:space="preserve"> average daily</w:t>
      </w:r>
      <w:r>
        <w:rPr>
          <w:rFonts w:ascii="Times New Roman" w:hAnsi="Times New Roman" w:cs="Times New Roman"/>
          <w:sz w:val="24"/>
          <w:szCs w:val="24"/>
        </w:rPr>
        <w:t xml:space="preserve"> bid-ask spread </w:t>
      </w:r>
      <w:r w:rsidR="00E304AA">
        <w:rPr>
          <w:rFonts w:ascii="Times New Roman" w:hAnsi="Times New Roman" w:cs="Times New Roman"/>
          <w:sz w:val="24"/>
          <w:szCs w:val="24"/>
        </w:rPr>
        <w:t>for the year</w:t>
      </w:r>
      <w:r w:rsidR="009A566C">
        <w:rPr>
          <w:rFonts w:ascii="Times New Roman" w:hAnsi="Times New Roman" w:cs="Times New Roman"/>
          <w:sz w:val="24"/>
          <w:szCs w:val="24"/>
        </w:rPr>
        <w:t xml:space="preserve"> ended </w:t>
      </w:r>
      <w:r>
        <w:rPr>
          <w:rFonts w:ascii="Times New Roman" w:hAnsi="Times New Roman" w:cs="Times New Roman"/>
          <w:sz w:val="24"/>
          <w:szCs w:val="24"/>
        </w:rPr>
        <w:t>three months after</w:t>
      </w:r>
      <w:r w:rsidR="009A566C">
        <w:rPr>
          <w:rFonts w:ascii="Times New Roman" w:hAnsi="Times New Roman" w:cs="Times New Roman"/>
          <w:sz w:val="24"/>
          <w:szCs w:val="24"/>
        </w:rPr>
        <w:t xml:space="preserve"> the first IFRS</w:t>
      </w:r>
      <w:r w:rsidR="00F52218">
        <w:rPr>
          <w:rFonts w:ascii="Times New Roman" w:hAnsi="Times New Roman" w:cs="Times New Roman"/>
          <w:sz w:val="24"/>
          <w:szCs w:val="24"/>
        </w:rPr>
        <w:t xml:space="preserve"> fiscal-</w:t>
      </w:r>
      <w:r>
        <w:rPr>
          <w:rFonts w:ascii="Times New Roman" w:hAnsi="Times New Roman" w:cs="Times New Roman"/>
          <w:sz w:val="24"/>
          <w:szCs w:val="24"/>
        </w:rPr>
        <w:t xml:space="preserve">year end minus the </w:t>
      </w:r>
      <w:r w:rsidR="009A566C">
        <w:rPr>
          <w:rFonts w:ascii="Times New Roman" w:hAnsi="Times New Roman" w:cs="Times New Roman"/>
          <w:sz w:val="24"/>
          <w:szCs w:val="24"/>
        </w:rPr>
        <w:t xml:space="preserve">average daily </w:t>
      </w:r>
      <w:r>
        <w:rPr>
          <w:rFonts w:ascii="Times New Roman" w:hAnsi="Times New Roman" w:cs="Times New Roman"/>
          <w:sz w:val="24"/>
          <w:szCs w:val="24"/>
        </w:rPr>
        <w:t>bid-ask spread</w:t>
      </w:r>
      <w:r w:rsidR="00E304AA">
        <w:rPr>
          <w:rFonts w:ascii="Times New Roman" w:hAnsi="Times New Roman" w:cs="Times New Roman"/>
          <w:sz w:val="24"/>
          <w:szCs w:val="24"/>
        </w:rPr>
        <w:t xml:space="preserve"> for the year</w:t>
      </w:r>
      <w:r w:rsidR="00F52218">
        <w:rPr>
          <w:rFonts w:ascii="Times New Roman" w:hAnsi="Times New Roman" w:cs="Times New Roman"/>
          <w:sz w:val="24"/>
          <w:szCs w:val="24"/>
        </w:rPr>
        <w:t xml:space="preserve"> </w:t>
      </w:r>
      <w:r w:rsidR="009A566C">
        <w:rPr>
          <w:rFonts w:ascii="Times New Roman" w:hAnsi="Times New Roman" w:cs="Times New Roman"/>
          <w:sz w:val="24"/>
          <w:szCs w:val="24"/>
        </w:rPr>
        <w:t>ended three months after the last UK GAAP fiscal-year</w:t>
      </w:r>
      <w:r w:rsidR="00D6189F">
        <w:rPr>
          <w:rFonts w:ascii="Times New Roman" w:hAnsi="Times New Roman" w:cs="Times New Roman"/>
          <w:sz w:val="24"/>
          <w:szCs w:val="24"/>
        </w:rPr>
        <w:t xml:space="preserve"> end</w:t>
      </w:r>
      <w:r w:rsidR="00E304AA">
        <w:rPr>
          <w:rFonts w:ascii="Times New Roman" w:hAnsi="Times New Roman" w:cs="Times New Roman"/>
          <w:sz w:val="24"/>
          <w:szCs w:val="24"/>
        </w:rPr>
        <w:t>.</w:t>
      </w:r>
      <w:r w:rsidR="00F52218">
        <w:rPr>
          <w:rFonts w:ascii="Times New Roman" w:hAnsi="Times New Roman" w:cs="Times New Roman"/>
          <w:sz w:val="24"/>
          <w:szCs w:val="24"/>
        </w:rPr>
        <w:t xml:space="preserve"> </w:t>
      </w:r>
      <w:r w:rsidR="00AA5F43">
        <w:rPr>
          <w:rFonts w:ascii="Times New Roman" w:hAnsi="Times New Roman"/>
          <w:sz w:val="24"/>
          <w:szCs w:val="24"/>
        </w:rPr>
        <w:t xml:space="preserve">SWITCH is an indicator variable that equals 1 for switchers (firms that switched from </w:t>
      </w:r>
      <w:r w:rsidR="00AA5F43">
        <w:rPr>
          <w:rFonts w:ascii="Times New Roman" w:hAnsi="Times New Roman" w:cs="Times New Roman"/>
          <w:sz w:val="24"/>
          <w:szCs w:val="24"/>
        </w:rPr>
        <w:t>expensing R&amp;D under UK GAAP to capitalizing R&amp;D under IFRS</w:t>
      </w:r>
      <w:r w:rsidR="00AA5F43">
        <w:rPr>
          <w:rFonts w:ascii="Times New Roman" w:hAnsi="Times New Roman"/>
          <w:sz w:val="24"/>
          <w:szCs w:val="24"/>
        </w:rPr>
        <w:t>), and 0 for capitalizers (firms that always capitalized under UK GAAP and IFRS</w:t>
      </w:r>
      <w:r w:rsidR="00AA5F43" w:rsidRPr="005137F2">
        <w:rPr>
          <w:rFonts w:ascii="Times New Roman" w:hAnsi="Times New Roman" w:cs="Times New Roman"/>
          <w:sz w:val="24"/>
          <w:szCs w:val="24"/>
        </w:rPr>
        <w:t>).</w:t>
      </w:r>
      <w:r w:rsidR="00F52218">
        <w:rPr>
          <w:rFonts w:ascii="Times New Roman" w:hAnsi="Times New Roman"/>
          <w:sz w:val="24"/>
          <w:szCs w:val="24"/>
        </w:rPr>
        <w:t xml:space="preserve"> </w:t>
      </w:r>
      <w:r w:rsidR="00885A25">
        <w:rPr>
          <w:rFonts w:ascii="Symbol" w:hAnsi="Symbol"/>
          <w:sz w:val="24"/>
          <w:szCs w:val="24"/>
        </w:rPr>
        <w:t></w:t>
      </w:r>
      <w:r w:rsidR="00885A25" w:rsidRPr="009E7C4B">
        <w:rPr>
          <w:rFonts w:ascii="Times New Roman" w:hAnsi="Times New Roman"/>
          <w:sz w:val="24"/>
          <w:szCs w:val="24"/>
        </w:rPr>
        <w:t xml:space="preserve">PRC is </w:t>
      </w:r>
      <w:r w:rsidR="009A566C">
        <w:rPr>
          <w:rFonts w:ascii="Times New Roman" w:hAnsi="Times New Roman"/>
          <w:sz w:val="24"/>
          <w:szCs w:val="24"/>
        </w:rPr>
        <w:t xml:space="preserve">change in </w:t>
      </w:r>
      <w:r w:rsidR="00885A25">
        <w:rPr>
          <w:rFonts w:ascii="Times New Roman" w:hAnsi="Times New Roman"/>
          <w:sz w:val="24"/>
          <w:szCs w:val="24"/>
        </w:rPr>
        <w:t xml:space="preserve">the </w:t>
      </w:r>
      <w:r w:rsidR="00885A25" w:rsidRPr="009E7C4B">
        <w:rPr>
          <w:rFonts w:ascii="Times New Roman" w:hAnsi="Times New Roman"/>
          <w:sz w:val="24"/>
          <w:szCs w:val="24"/>
        </w:rPr>
        <w:t>average daily price;</w:t>
      </w:r>
      <w:r w:rsidR="00885A25">
        <w:rPr>
          <w:rFonts w:ascii="Times New Roman" w:hAnsi="Times New Roman"/>
          <w:sz w:val="24"/>
          <w:szCs w:val="24"/>
        </w:rPr>
        <w:t xml:space="preserve"> </w:t>
      </w:r>
      <w:r w:rsidR="00885A25">
        <w:rPr>
          <w:rFonts w:ascii="Symbol" w:hAnsi="Symbol"/>
          <w:sz w:val="24"/>
          <w:szCs w:val="24"/>
        </w:rPr>
        <w:t></w:t>
      </w:r>
      <w:r w:rsidR="00885A25" w:rsidRPr="009E7C4B">
        <w:rPr>
          <w:rFonts w:ascii="Times New Roman" w:hAnsi="Times New Roman"/>
          <w:sz w:val="24"/>
          <w:szCs w:val="24"/>
        </w:rPr>
        <w:t xml:space="preserve">RetVol is </w:t>
      </w:r>
      <w:r w:rsidR="00885A25">
        <w:rPr>
          <w:rFonts w:ascii="Times New Roman" w:hAnsi="Times New Roman"/>
          <w:sz w:val="24"/>
          <w:szCs w:val="24"/>
        </w:rPr>
        <w:t xml:space="preserve">the change in the </w:t>
      </w:r>
      <w:r w:rsidR="00885A25" w:rsidRPr="009E7C4B">
        <w:rPr>
          <w:rFonts w:ascii="Times New Roman" w:hAnsi="Times New Roman"/>
          <w:sz w:val="24"/>
          <w:szCs w:val="24"/>
        </w:rPr>
        <w:t>average daily standard</w:t>
      </w:r>
      <w:r w:rsidR="00885A25">
        <w:rPr>
          <w:rFonts w:ascii="Times New Roman" w:hAnsi="Times New Roman"/>
          <w:sz w:val="24"/>
          <w:szCs w:val="24"/>
        </w:rPr>
        <w:t xml:space="preserve"> deviation of daily returns; </w:t>
      </w:r>
      <w:r w:rsidR="00885A25">
        <w:rPr>
          <w:rFonts w:ascii="Symbol" w:hAnsi="Symbol"/>
          <w:sz w:val="24"/>
          <w:szCs w:val="24"/>
        </w:rPr>
        <w:t></w:t>
      </w:r>
      <w:r w:rsidR="00885A25" w:rsidRPr="009E7C4B">
        <w:rPr>
          <w:rFonts w:ascii="Times New Roman" w:hAnsi="Times New Roman"/>
          <w:sz w:val="24"/>
          <w:szCs w:val="24"/>
        </w:rPr>
        <w:t xml:space="preserve">Vol is the </w:t>
      </w:r>
      <w:r w:rsidR="00885A25">
        <w:rPr>
          <w:rFonts w:ascii="Times New Roman" w:hAnsi="Times New Roman"/>
          <w:sz w:val="24"/>
          <w:szCs w:val="24"/>
        </w:rPr>
        <w:t xml:space="preserve">change in the </w:t>
      </w:r>
      <w:r w:rsidR="00885A25" w:rsidRPr="009E7C4B">
        <w:rPr>
          <w:rFonts w:ascii="Times New Roman" w:hAnsi="Times New Roman"/>
          <w:sz w:val="24"/>
          <w:szCs w:val="24"/>
        </w:rPr>
        <w:t>average daily trading volume</w:t>
      </w:r>
      <w:r w:rsidR="00885A25">
        <w:rPr>
          <w:rFonts w:ascii="Times New Roman" w:hAnsi="Times New Roman"/>
          <w:sz w:val="24"/>
          <w:szCs w:val="24"/>
        </w:rPr>
        <w:t xml:space="preserve"> scaled by number of shares outstanding; </w:t>
      </w:r>
      <w:r w:rsidR="00885A25">
        <w:rPr>
          <w:rFonts w:ascii="Symbol" w:hAnsi="Symbol"/>
          <w:sz w:val="24"/>
          <w:szCs w:val="24"/>
        </w:rPr>
        <w:t></w:t>
      </w:r>
      <w:r w:rsidR="00885A25" w:rsidRPr="009E7C4B">
        <w:rPr>
          <w:rFonts w:ascii="Times New Roman" w:hAnsi="Times New Roman"/>
          <w:sz w:val="24"/>
          <w:szCs w:val="24"/>
        </w:rPr>
        <w:t xml:space="preserve">MV is </w:t>
      </w:r>
      <w:r w:rsidR="00885A25">
        <w:rPr>
          <w:rFonts w:ascii="Times New Roman" w:hAnsi="Times New Roman"/>
          <w:sz w:val="24"/>
          <w:szCs w:val="24"/>
        </w:rPr>
        <w:t xml:space="preserve">the </w:t>
      </w:r>
      <w:r w:rsidR="009A566C">
        <w:rPr>
          <w:rFonts w:ascii="Times New Roman" w:hAnsi="Times New Roman"/>
          <w:sz w:val="24"/>
          <w:szCs w:val="24"/>
        </w:rPr>
        <w:t xml:space="preserve">change in the </w:t>
      </w:r>
      <w:r w:rsidR="00885A25" w:rsidRPr="009E7C4B">
        <w:rPr>
          <w:rFonts w:ascii="Times New Roman" w:hAnsi="Times New Roman"/>
          <w:sz w:val="24"/>
          <w:szCs w:val="24"/>
        </w:rPr>
        <w:t>average daily market value of equity</w:t>
      </w:r>
      <w:r w:rsidR="00885A25">
        <w:rPr>
          <w:rFonts w:ascii="Times New Roman" w:hAnsi="Times New Roman"/>
          <w:sz w:val="24"/>
          <w:szCs w:val="24"/>
        </w:rPr>
        <w:t xml:space="preserve">; </w:t>
      </w:r>
      <w:r w:rsidR="00885A25">
        <w:rPr>
          <w:rFonts w:ascii="Symbol" w:hAnsi="Symbol"/>
          <w:sz w:val="24"/>
          <w:szCs w:val="24"/>
        </w:rPr>
        <w:t></w:t>
      </w:r>
      <w:r w:rsidR="00885A25" w:rsidRPr="009E7C4B">
        <w:rPr>
          <w:rFonts w:ascii="Times New Roman" w:hAnsi="Times New Roman"/>
          <w:sz w:val="24"/>
          <w:szCs w:val="24"/>
        </w:rPr>
        <w:t xml:space="preserve">PRC is </w:t>
      </w:r>
      <w:r w:rsidR="00885A25">
        <w:rPr>
          <w:rFonts w:ascii="Times New Roman" w:hAnsi="Times New Roman"/>
          <w:sz w:val="24"/>
          <w:szCs w:val="24"/>
        </w:rPr>
        <w:t xml:space="preserve">the </w:t>
      </w:r>
      <w:r w:rsidR="009A566C">
        <w:rPr>
          <w:rFonts w:ascii="Times New Roman" w:hAnsi="Times New Roman"/>
          <w:sz w:val="24"/>
          <w:szCs w:val="24"/>
        </w:rPr>
        <w:t xml:space="preserve">change in the </w:t>
      </w:r>
      <w:r w:rsidR="00885A25" w:rsidRPr="009E7C4B">
        <w:rPr>
          <w:rFonts w:ascii="Times New Roman" w:hAnsi="Times New Roman"/>
          <w:sz w:val="24"/>
          <w:szCs w:val="24"/>
        </w:rPr>
        <w:t>average daily price</w:t>
      </w:r>
      <w:r w:rsidR="00885A25">
        <w:rPr>
          <w:rFonts w:ascii="Times New Roman" w:hAnsi="Times New Roman"/>
          <w:sz w:val="24"/>
          <w:szCs w:val="24"/>
        </w:rPr>
        <w:t>.</w:t>
      </w:r>
      <w:r w:rsidR="00885A25" w:rsidRPr="009E7C4B">
        <w:rPr>
          <w:rFonts w:ascii="Times New Roman" w:hAnsi="Times New Roman"/>
          <w:sz w:val="24"/>
          <w:szCs w:val="24"/>
        </w:rPr>
        <w:t xml:space="preserve"> </w:t>
      </w:r>
      <w:r w:rsidR="00885A25">
        <w:rPr>
          <w:rFonts w:ascii="Symbol" w:hAnsi="Symbol"/>
          <w:sz w:val="24"/>
          <w:szCs w:val="24"/>
        </w:rPr>
        <w:t></w:t>
      </w:r>
      <w:r w:rsidR="00885A25">
        <w:rPr>
          <w:rFonts w:ascii="Times New Roman" w:hAnsi="Times New Roman"/>
          <w:sz w:val="24"/>
          <w:szCs w:val="24"/>
        </w:rPr>
        <w:t xml:space="preserve">RetVol, </w:t>
      </w:r>
      <w:r w:rsidR="00885A25">
        <w:rPr>
          <w:rFonts w:ascii="Symbol" w:hAnsi="Symbol"/>
          <w:sz w:val="24"/>
          <w:szCs w:val="24"/>
        </w:rPr>
        <w:t></w:t>
      </w:r>
      <w:r w:rsidR="00885A25">
        <w:rPr>
          <w:rFonts w:ascii="Times New Roman" w:hAnsi="Times New Roman"/>
          <w:sz w:val="24"/>
          <w:szCs w:val="24"/>
        </w:rPr>
        <w:t xml:space="preserve">Vol, </w:t>
      </w:r>
      <w:r w:rsidR="00885A25">
        <w:rPr>
          <w:rFonts w:ascii="Symbol" w:hAnsi="Symbol"/>
          <w:sz w:val="24"/>
          <w:szCs w:val="24"/>
        </w:rPr>
        <w:t></w:t>
      </w:r>
      <w:r w:rsidR="00885A25">
        <w:rPr>
          <w:rFonts w:ascii="Times New Roman" w:hAnsi="Times New Roman"/>
          <w:sz w:val="24"/>
          <w:szCs w:val="24"/>
        </w:rPr>
        <w:t xml:space="preserve">PRC, </w:t>
      </w:r>
      <w:r w:rsidR="00885A25">
        <w:rPr>
          <w:rFonts w:ascii="Symbol" w:hAnsi="Symbol"/>
          <w:sz w:val="24"/>
          <w:szCs w:val="24"/>
        </w:rPr>
        <w:t></w:t>
      </w:r>
      <w:r w:rsidR="00885A25">
        <w:rPr>
          <w:rFonts w:ascii="Times New Roman" w:hAnsi="Times New Roman"/>
          <w:sz w:val="24"/>
          <w:szCs w:val="24"/>
        </w:rPr>
        <w:t>MV are measured over the same period as the dependent variable.</w:t>
      </w:r>
      <w:r w:rsidR="00885A25" w:rsidDel="00885A25">
        <w:rPr>
          <w:rFonts w:ascii="Symbol" w:hAnsi="Symbol"/>
          <w:sz w:val="24"/>
          <w:szCs w:val="24"/>
        </w:rPr>
        <w:t></w:t>
      </w:r>
      <w:r w:rsidR="00F52218" w:rsidRPr="005137F2">
        <w:rPr>
          <w:rFonts w:ascii="Times New Roman" w:hAnsi="Times New Roman" w:cs="Times New Roman"/>
          <w:sz w:val="24"/>
          <w:szCs w:val="24"/>
        </w:rPr>
        <w:t>OTH_IFRS_CHG</w:t>
      </w:r>
      <w:r w:rsidR="00F52218" w:rsidRPr="005137F2">
        <w:rPr>
          <w:rFonts w:ascii="Times New Roman" w:hAnsi="Times New Roman" w:cs="Times New Roman"/>
          <w:sz w:val="24"/>
          <w:szCs w:val="24"/>
          <w:vertAlign w:val="subscript"/>
        </w:rPr>
        <w:t>j</w:t>
      </w:r>
      <w:r w:rsidR="00F52218" w:rsidRPr="005137F2">
        <w:rPr>
          <w:rFonts w:ascii="Times New Roman" w:hAnsi="Times New Roman" w:cs="Times New Roman"/>
          <w:sz w:val="24"/>
          <w:szCs w:val="24"/>
        </w:rPr>
        <w:t xml:space="preserve"> are a sequence of indicator variables that equal 1 if a firm reported an impact from switching from UK GAAP to IFRS in its reconciliation of its income statement and balance sheet for the last year of UK GAAP and the ‘as-if-IFRS’ restatement of the income statement and balance sheet. The six accounting changes relate to accounting for leases (LEASES), pensions (PENSIONS), deferred taxes (TAXATION), stock option compensation (SB_PAYMENTS), goodwill (GOODWILL), and derivatives (FIN_INSTRUMENTS), research and development (R&amp;D).</w:t>
      </w:r>
    </w:p>
    <w:p w14:paraId="78AC124D" w14:textId="77777777" w:rsidR="002B5121" w:rsidRDefault="002B5121" w:rsidP="00F7035D">
      <w:pPr>
        <w:contextualSpacing/>
        <w:jc w:val="both"/>
        <w:rPr>
          <w:rFonts w:ascii="Times New Roman" w:hAnsi="Times New Roman"/>
          <w:sz w:val="24"/>
          <w:szCs w:val="24"/>
        </w:rPr>
      </w:pPr>
      <w:r w:rsidRPr="0080751D">
        <w:rPr>
          <w:rFonts w:ascii="Times New Roman" w:hAnsi="Times New Roman"/>
          <w:sz w:val="24"/>
          <w:szCs w:val="24"/>
        </w:rPr>
        <w:t>Standard errors are clustered by firm.</w:t>
      </w:r>
      <w:r>
        <w:rPr>
          <w:rFonts w:ascii="Times New Roman" w:hAnsi="Times New Roman"/>
          <w:sz w:val="24"/>
          <w:szCs w:val="24"/>
        </w:rPr>
        <w:t xml:space="preserve"> </w:t>
      </w:r>
    </w:p>
    <w:p w14:paraId="7C4703FD" w14:textId="77777777" w:rsidR="002B5121" w:rsidRPr="0080751D" w:rsidRDefault="002B5121" w:rsidP="00F7035D">
      <w:pPr>
        <w:contextualSpacing/>
        <w:jc w:val="both"/>
        <w:rPr>
          <w:rFonts w:ascii="Times New Roman" w:hAnsi="Times New Roman"/>
          <w:sz w:val="24"/>
          <w:szCs w:val="24"/>
        </w:rPr>
      </w:pPr>
    </w:p>
    <w:p w14:paraId="4B70F007" w14:textId="77777777" w:rsidR="002B5121" w:rsidRPr="0080751D" w:rsidRDefault="002B5121" w:rsidP="00F7035D">
      <w:pPr>
        <w:spacing w:before="100" w:beforeAutospacing="1" w:after="0" w:line="240" w:lineRule="auto"/>
        <w:contextualSpacing/>
        <w:jc w:val="both"/>
        <w:rPr>
          <w:rFonts w:ascii="Times New Roman" w:hAnsi="Times New Roman"/>
          <w:sz w:val="24"/>
          <w:szCs w:val="24"/>
        </w:rPr>
      </w:pPr>
      <w:r w:rsidRPr="0080751D">
        <w:rPr>
          <w:rFonts w:ascii="Times New Roman" w:hAnsi="Times New Roman"/>
          <w:sz w:val="24"/>
          <w:szCs w:val="24"/>
        </w:rPr>
        <w:t>*, ** and *** indicate significance at the 0.10, 0.05 and 0.01 levels, respectively.</w:t>
      </w:r>
    </w:p>
    <w:p w14:paraId="348DA888" w14:textId="0E5763AF" w:rsidR="009501C2" w:rsidRDefault="009501C2" w:rsidP="00F7035D">
      <w:pPr>
        <w:jc w:val="both"/>
        <w:rPr>
          <w:rFonts w:ascii="Times New Roman" w:hAnsi="Times New Roman"/>
          <w:sz w:val="24"/>
          <w:szCs w:val="24"/>
        </w:rPr>
      </w:pPr>
    </w:p>
    <w:p w14:paraId="03CEFB1D" w14:textId="5308B9B8" w:rsidR="002B5121" w:rsidRDefault="002B5121" w:rsidP="006F47F2">
      <w:pPr>
        <w:rPr>
          <w:rFonts w:ascii="Times New Roman" w:hAnsi="Times New Roman"/>
          <w:sz w:val="24"/>
          <w:szCs w:val="24"/>
        </w:rPr>
      </w:pPr>
    </w:p>
    <w:p w14:paraId="10C9A150" w14:textId="77777777" w:rsidR="002B5121" w:rsidRDefault="002B5121" w:rsidP="006F47F2">
      <w:pPr>
        <w:rPr>
          <w:rFonts w:ascii="Times New Roman" w:hAnsi="Times New Roman"/>
          <w:sz w:val="24"/>
          <w:szCs w:val="24"/>
        </w:rPr>
      </w:pPr>
    </w:p>
    <w:p w14:paraId="62E0DAB8" w14:textId="77777777" w:rsidR="009E6656" w:rsidRDefault="009E6656">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5771CDD1" w14:textId="5AB0635E" w:rsidR="00B501CE" w:rsidRDefault="002D74F1" w:rsidP="00FC5007">
      <w:pPr>
        <w:contextualSpacing/>
        <w:jc w:val="center"/>
        <w:rPr>
          <w:rFonts w:ascii="Times New Roman" w:hAnsi="Times New Roman" w:cs="Times New Roman"/>
          <w:b/>
          <w:sz w:val="24"/>
          <w:szCs w:val="24"/>
        </w:rPr>
      </w:pPr>
      <w:r>
        <w:rPr>
          <w:rFonts w:ascii="Times New Roman" w:hAnsi="Times New Roman" w:cs="Times New Roman"/>
          <w:b/>
          <w:sz w:val="24"/>
          <w:szCs w:val="24"/>
        </w:rPr>
        <w:t>Table 1</w:t>
      </w:r>
      <w:r w:rsidR="005B0A84">
        <w:rPr>
          <w:rFonts w:ascii="Times New Roman" w:hAnsi="Times New Roman" w:cs="Times New Roman"/>
          <w:b/>
          <w:sz w:val="24"/>
          <w:szCs w:val="24"/>
        </w:rPr>
        <w:t>3</w:t>
      </w:r>
    </w:p>
    <w:p w14:paraId="43F1A284" w14:textId="658D71CB" w:rsidR="002D74F1" w:rsidRDefault="002D74F1" w:rsidP="00FC5007">
      <w:pPr>
        <w:pBdr>
          <w:bottom w:val="single" w:sz="12" w:space="1" w:color="auto"/>
        </w:pBdr>
        <w:contextualSpacing/>
        <w:jc w:val="center"/>
        <w:rPr>
          <w:rFonts w:ascii="Times New Roman" w:hAnsi="Times New Roman" w:cs="Times New Roman"/>
          <w:b/>
          <w:sz w:val="24"/>
          <w:szCs w:val="24"/>
          <w:vertAlign w:val="superscript"/>
        </w:rPr>
      </w:pPr>
      <w:r>
        <w:rPr>
          <w:rFonts w:ascii="Times New Roman" w:hAnsi="Times New Roman" w:cs="Times New Roman"/>
          <w:b/>
          <w:sz w:val="24"/>
          <w:szCs w:val="24"/>
        </w:rPr>
        <w:t>Investment Efficiency</w:t>
      </w:r>
      <w:r>
        <w:rPr>
          <w:rFonts w:ascii="Times New Roman" w:hAnsi="Times New Roman" w:cs="Times New Roman"/>
          <w:b/>
          <w:sz w:val="24"/>
          <w:szCs w:val="24"/>
          <w:vertAlign w:val="superscript"/>
        </w:rPr>
        <w:t>a</w:t>
      </w:r>
    </w:p>
    <w:p w14:paraId="7E535701" w14:textId="77777777" w:rsidR="002D74F1" w:rsidRDefault="002D74F1" w:rsidP="00FC5007">
      <w:pPr>
        <w:contextualSpacing/>
        <w:jc w:val="center"/>
        <w:rPr>
          <w:rFonts w:ascii="Times New Roman" w:hAnsi="Times New Roman" w:cs="Times New Roman"/>
          <w:b/>
          <w:sz w:val="24"/>
          <w:szCs w:val="24"/>
          <w:vertAlign w:val="superscript"/>
        </w:rPr>
      </w:pPr>
    </w:p>
    <w:tbl>
      <w:tblPr>
        <w:tblW w:w="10312" w:type="dxa"/>
        <w:jc w:val="center"/>
        <w:tblLayout w:type="fixed"/>
        <w:tblCellMar>
          <w:left w:w="75" w:type="dxa"/>
          <w:right w:w="75" w:type="dxa"/>
        </w:tblCellMar>
        <w:tblLook w:val="0000" w:firstRow="0" w:lastRow="0" w:firstColumn="0" w:lastColumn="0" w:noHBand="0" w:noVBand="0"/>
      </w:tblPr>
      <w:tblGrid>
        <w:gridCol w:w="4032"/>
        <w:gridCol w:w="2252"/>
        <w:gridCol w:w="1968"/>
        <w:gridCol w:w="2060"/>
      </w:tblGrid>
      <w:tr w:rsidR="002D74F1" w14:paraId="17C667D0" w14:textId="77777777" w:rsidTr="00E4121E">
        <w:trPr>
          <w:jc w:val="center"/>
        </w:trPr>
        <w:tc>
          <w:tcPr>
            <w:tcW w:w="4032" w:type="dxa"/>
            <w:tcBorders>
              <w:top w:val="single" w:sz="6" w:space="0" w:color="auto"/>
              <w:left w:val="nil"/>
              <w:bottom w:val="nil"/>
              <w:right w:val="nil"/>
            </w:tcBorders>
          </w:tcPr>
          <w:p w14:paraId="3970BDAF" w14:textId="77777777"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p>
        </w:tc>
        <w:tc>
          <w:tcPr>
            <w:tcW w:w="2252" w:type="dxa"/>
            <w:tcBorders>
              <w:top w:val="single" w:sz="6" w:space="0" w:color="auto"/>
              <w:left w:val="nil"/>
              <w:bottom w:val="nil"/>
              <w:right w:val="nil"/>
            </w:tcBorders>
          </w:tcPr>
          <w:p w14:paraId="3529AFE7"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68" w:type="dxa"/>
            <w:tcBorders>
              <w:top w:val="single" w:sz="6" w:space="0" w:color="auto"/>
              <w:left w:val="nil"/>
              <w:bottom w:val="nil"/>
              <w:right w:val="nil"/>
            </w:tcBorders>
          </w:tcPr>
          <w:p w14:paraId="1B4DF5C8"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060" w:type="dxa"/>
            <w:tcBorders>
              <w:top w:val="single" w:sz="6" w:space="0" w:color="auto"/>
              <w:left w:val="nil"/>
              <w:bottom w:val="nil"/>
              <w:right w:val="nil"/>
            </w:tcBorders>
          </w:tcPr>
          <w:p w14:paraId="18DAAA5D"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2D74F1" w14:paraId="06898A99" w14:textId="77777777" w:rsidTr="00E4121E">
        <w:trPr>
          <w:jc w:val="center"/>
        </w:trPr>
        <w:tc>
          <w:tcPr>
            <w:tcW w:w="4032" w:type="dxa"/>
            <w:tcBorders>
              <w:top w:val="nil"/>
              <w:left w:val="nil"/>
              <w:bottom w:val="single" w:sz="6" w:space="0" w:color="auto"/>
              <w:right w:val="nil"/>
            </w:tcBorders>
          </w:tcPr>
          <w:p w14:paraId="3189489E" w14:textId="77777777"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VARIABLES</w:t>
            </w:r>
          </w:p>
        </w:tc>
        <w:tc>
          <w:tcPr>
            <w:tcW w:w="2252" w:type="dxa"/>
            <w:tcBorders>
              <w:top w:val="nil"/>
              <w:left w:val="nil"/>
              <w:bottom w:val="single" w:sz="6" w:space="0" w:color="auto"/>
              <w:right w:val="nil"/>
            </w:tcBorders>
          </w:tcPr>
          <w:p w14:paraId="7AB395C2"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RD_Gwth</w:t>
            </w:r>
          </w:p>
        </w:tc>
        <w:tc>
          <w:tcPr>
            <w:tcW w:w="1968" w:type="dxa"/>
            <w:tcBorders>
              <w:top w:val="nil"/>
              <w:left w:val="nil"/>
              <w:bottom w:val="single" w:sz="6" w:space="0" w:color="auto"/>
              <w:right w:val="nil"/>
            </w:tcBorders>
          </w:tcPr>
          <w:p w14:paraId="568534CD"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RD_TA</w:t>
            </w:r>
          </w:p>
        </w:tc>
        <w:tc>
          <w:tcPr>
            <w:tcW w:w="2060" w:type="dxa"/>
            <w:tcBorders>
              <w:top w:val="nil"/>
              <w:left w:val="nil"/>
              <w:bottom w:val="single" w:sz="6" w:space="0" w:color="auto"/>
              <w:right w:val="nil"/>
            </w:tcBorders>
          </w:tcPr>
          <w:p w14:paraId="4F478A18"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RD_Sales</w:t>
            </w:r>
          </w:p>
        </w:tc>
      </w:tr>
      <w:tr w:rsidR="002D74F1" w14:paraId="1EE4BED6" w14:textId="77777777" w:rsidTr="00E4121E">
        <w:trPr>
          <w:jc w:val="center"/>
        </w:trPr>
        <w:tc>
          <w:tcPr>
            <w:tcW w:w="4032" w:type="dxa"/>
            <w:tcBorders>
              <w:top w:val="nil"/>
              <w:left w:val="nil"/>
              <w:bottom w:val="nil"/>
              <w:right w:val="nil"/>
            </w:tcBorders>
          </w:tcPr>
          <w:p w14:paraId="6596B4D2" w14:textId="77777777"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p>
        </w:tc>
        <w:tc>
          <w:tcPr>
            <w:tcW w:w="2252" w:type="dxa"/>
            <w:tcBorders>
              <w:top w:val="nil"/>
              <w:left w:val="nil"/>
              <w:bottom w:val="nil"/>
              <w:right w:val="nil"/>
            </w:tcBorders>
          </w:tcPr>
          <w:p w14:paraId="61A3C0B1"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p>
        </w:tc>
        <w:tc>
          <w:tcPr>
            <w:tcW w:w="1968" w:type="dxa"/>
            <w:tcBorders>
              <w:top w:val="nil"/>
              <w:left w:val="nil"/>
              <w:bottom w:val="nil"/>
              <w:right w:val="nil"/>
            </w:tcBorders>
          </w:tcPr>
          <w:p w14:paraId="62242F6C"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p>
        </w:tc>
        <w:tc>
          <w:tcPr>
            <w:tcW w:w="2060" w:type="dxa"/>
            <w:tcBorders>
              <w:top w:val="nil"/>
              <w:left w:val="nil"/>
              <w:bottom w:val="nil"/>
              <w:right w:val="nil"/>
            </w:tcBorders>
          </w:tcPr>
          <w:p w14:paraId="213C3C5F"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p>
        </w:tc>
      </w:tr>
      <w:tr w:rsidR="002D74F1" w14:paraId="334FB8C0" w14:textId="77777777" w:rsidTr="00E4121E">
        <w:trPr>
          <w:jc w:val="center"/>
        </w:trPr>
        <w:tc>
          <w:tcPr>
            <w:tcW w:w="4032" w:type="dxa"/>
            <w:tcBorders>
              <w:top w:val="nil"/>
              <w:left w:val="nil"/>
              <w:bottom w:val="nil"/>
              <w:right w:val="nil"/>
            </w:tcBorders>
          </w:tcPr>
          <w:p w14:paraId="4879E5AB" w14:textId="77777777"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SWITCH*IFRS year – 3</w:t>
            </w:r>
          </w:p>
        </w:tc>
        <w:tc>
          <w:tcPr>
            <w:tcW w:w="2252" w:type="dxa"/>
            <w:tcBorders>
              <w:top w:val="nil"/>
              <w:left w:val="nil"/>
              <w:bottom w:val="nil"/>
              <w:right w:val="nil"/>
            </w:tcBorders>
          </w:tcPr>
          <w:p w14:paraId="076CA75E"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0.077</w:t>
            </w:r>
          </w:p>
        </w:tc>
        <w:tc>
          <w:tcPr>
            <w:tcW w:w="1968" w:type="dxa"/>
            <w:tcBorders>
              <w:top w:val="nil"/>
              <w:left w:val="nil"/>
              <w:bottom w:val="nil"/>
              <w:right w:val="nil"/>
            </w:tcBorders>
          </w:tcPr>
          <w:p w14:paraId="6E5D773F"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w:t>
            </w:r>
          </w:p>
        </w:tc>
        <w:tc>
          <w:tcPr>
            <w:tcW w:w="2060" w:type="dxa"/>
            <w:tcBorders>
              <w:top w:val="nil"/>
              <w:left w:val="nil"/>
              <w:bottom w:val="nil"/>
              <w:right w:val="nil"/>
            </w:tcBorders>
          </w:tcPr>
          <w:p w14:paraId="12B48B46"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-0.018</w:t>
            </w:r>
          </w:p>
        </w:tc>
      </w:tr>
      <w:tr w:rsidR="002D74F1" w14:paraId="3A2305D2" w14:textId="77777777" w:rsidTr="00E4121E">
        <w:trPr>
          <w:jc w:val="center"/>
        </w:trPr>
        <w:tc>
          <w:tcPr>
            <w:tcW w:w="4032" w:type="dxa"/>
            <w:tcBorders>
              <w:top w:val="nil"/>
              <w:left w:val="nil"/>
              <w:bottom w:val="nil"/>
              <w:right w:val="nil"/>
            </w:tcBorders>
          </w:tcPr>
          <w:p w14:paraId="146F59B2" w14:textId="77777777"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p>
        </w:tc>
        <w:tc>
          <w:tcPr>
            <w:tcW w:w="2252" w:type="dxa"/>
            <w:tcBorders>
              <w:top w:val="nil"/>
              <w:left w:val="nil"/>
              <w:bottom w:val="nil"/>
              <w:right w:val="nil"/>
            </w:tcBorders>
          </w:tcPr>
          <w:p w14:paraId="0ED0C122"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(0.68)</w:t>
            </w:r>
          </w:p>
        </w:tc>
        <w:tc>
          <w:tcPr>
            <w:tcW w:w="1968" w:type="dxa"/>
            <w:tcBorders>
              <w:top w:val="nil"/>
              <w:left w:val="nil"/>
              <w:bottom w:val="nil"/>
              <w:right w:val="nil"/>
            </w:tcBorders>
          </w:tcPr>
          <w:p w14:paraId="798DE30E"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(0.09)</w:t>
            </w:r>
          </w:p>
        </w:tc>
        <w:tc>
          <w:tcPr>
            <w:tcW w:w="2060" w:type="dxa"/>
            <w:tcBorders>
              <w:top w:val="nil"/>
              <w:left w:val="nil"/>
              <w:bottom w:val="nil"/>
              <w:right w:val="nil"/>
            </w:tcBorders>
          </w:tcPr>
          <w:p w14:paraId="534C88A5"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(-1.15)</w:t>
            </w:r>
          </w:p>
        </w:tc>
      </w:tr>
      <w:tr w:rsidR="002D74F1" w14:paraId="1E635CAB" w14:textId="77777777" w:rsidTr="00E4121E">
        <w:trPr>
          <w:jc w:val="center"/>
        </w:trPr>
        <w:tc>
          <w:tcPr>
            <w:tcW w:w="4032" w:type="dxa"/>
            <w:tcBorders>
              <w:top w:val="nil"/>
              <w:left w:val="nil"/>
              <w:bottom w:val="nil"/>
              <w:right w:val="nil"/>
            </w:tcBorders>
          </w:tcPr>
          <w:p w14:paraId="6CA327FF" w14:textId="77777777"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SWITCH*IFRS year – 2</w:t>
            </w:r>
          </w:p>
        </w:tc>
        <w:tc>
          <w:tcPr>
            <w:tcW w:w="2252" w:type="dxa"/>
            <w:tcBorders>
              <w:top w:val="nil"/>
              <w:left w:val="nil"/>
              <w:bottom w:val="nil"/>
              <w:right w:val="nil"/>
            </w:tcBorders>
          </w:tcPr>
          <w:p w14:paraId="4A425241"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0.093</w:t>
            </w:r>
          </w:p>
        </w:tc>
        <w:tc>
          <w:tcPr>
            <w:tcW w:w="1968" w:type="dxa"/>
            <w:tcBorders>
              <w:top w:val="nil"/>
              <w:left w:val="nil"/>
              <w:bottom w:val="nil"/>
              <w:right w:val="nil"/>
            </w:tcBorders>
          </w:tcPr>
          <w:p w14:paraId="6D5A61C0"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0.008</w:t>
            </w:r>
          </w:p>
        </w:tc>
        <w:tc>
          <w:tcPr>
            <w:tcW w:w="2060" w:type="dxa"/>
            <w:tcBorders>
              <w:top w:val="nil"/>
              <w:left w:val="nil"/>
              <w:bottom w:val="nil"/>
              <w:right w:val="nil"/>
            </w:tcBorders>
          </w:tcPr>
          <w:p w14:paraId="3F64F04C"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0.003</w:t>
            </w:r>
          </w:p>
        </w:tc>
      </w:tr>
      <w:tr w:rsidR="002D74F1" w14:paraId="4178316D" w14:textId="77777777" w:rsidTr="00E4121E">
        <w:trPr>
          <w:jc w:val="center"/>
        </w:trPr>
        <w:tc>
          <w:tcPr>
            <w:tcW w:w="4032" w:type="dxa"/>
            <w:tcBorders>
              <w:top w:val="nil"/>
              <w:left w:val="nil"/>
              <w:bottom w:val="nil"/>
              <w:right w:val="nil"/>
            </w:tcBorders>
          </w:tcPr>
          <w:p w14:paraId="64E6C36B" w14:textId="77777777"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p>
        </w:tc>
        <w:tc>
          <w:tcPr>
            <w:tcW w:w="2252" w:type="dxa"/>
            <w:tcBorders>
              <w:top w:val="nil"/>
              <w:left w:val="nil"/>
              <w:bottom w:val="nil"/>
              <w:right w:val="nil"/>
            </w:tcBorders>
          </w:tcPr>
          <w:p w14:paraId="03E3BBAA"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(0.88)</w:t>
            </w:r>
          </w:p>
        </w:tc>
        <w:tc>
          <w:tcPr>
            <w:tcW w:w="1968" w:type="dxa"/>
            <w:tcBorders>
              <w:top w:val="nil"/>
              <w:left w:val="nil"/>
              <w:bottom w:val="nil"/>
              <w:right w:val="nil"/>
            </w:tcBorders>
          </w:tcPr>
          <w:p w14:paraId="52A3096D"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2060" w:type="dxa"/>
            <w:tcBorders>
              <w:top w:val="nil"/>
              <w:left w:val="nil"/>
              <w:bottom w:val="nil"/>
              <w:right w:val="nil"/>
            </w:tcBorders>
          </w:tcPr>
          <w:p w14:paraId="53AD7BEE"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(0.31)</w:t>
            </w:r>
          </w:p>
        </w:tc>
      </w:tr>
      <w:tr w:rsidR="002D74F1" w14:paraId="18AC5681" w14:textId="77777777" w:rsidTr="00E4121E">
        <w:trPr>
          <w:jc w:val="center"/>
        </w:trPr>
        <w:tc>
          <w:tcPr>
            <w:tcW w:w="4032" w:type="dxa"/>
            <w:tcBorders>
              <w:top w:val="nil"/>
              <w:left w:val="nil"/>
              <w:bottom w:val="nil"/>
              <w:right w:val="nil"/>
            </w:tcBorders>
          </w:tcPr>
          <w:p w14:paraId="3B0D05E1" w14:textId="77777777"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SWITCH*IFRS year – 1</w:t>
            </w:r>
          </w:p>
        </w:tc>
        <w:tc>
          <w:tcPr>
            <w:tcW w:w="2252" w:type="dxa"/>
            <w:tcBorders>
              <w:top w:val="nil"/>
              <w:left w:val="nil"/>
              <w:bottom w:val="nil"/>
              <w:right w:val="nil"/>
            </w:tcBorders>
          </w:tcPr>
          <w:p w14:paraId="7DA75610"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0.084</w:t>
            </w:r>
          </w:p>
        </w:tc>
        <w:tc>
          <w:tcPr>
            <w:tcW w:w="1968" w:type="dxa"/>
            <w:tcBorders>
              <w:top w:val="nil"/>
              <w:left w:val="nil"/>
              <w:bottom w:val="nil"/>
              <w:right w:val="nil"/>
            </w:tcBorders>
          </w:tcPr>
          <w:p w14:paraId="179D8F0A"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-0.009</w:t>
            </w:r>
          </w:p>
        </w:tc>
        <w:tc>
          <w:tcPr>
            <w:tcW w:w="2060" w:type="dxa"/>
            <w:tcBorders>
              <w:top w:val="nil"/>
              <w:left w:val="nil"/>
              <w:bottom w:val="nil"/>
              <w:right w:val="nil"/>
            </w:tcBorders>
          </w:tcPr>
          <w:p w14:paraId="1285236A"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-0.014</w:t>
            </w:r>
          </w:p>
        </w:tc>
      </w:tr>
      <w:tr w:rsidR="002D74F1" w14:paraId="776E5B49" w14:textId="77777777" w:rsidTr="00E4121E">
        <w:trPr>
          <w:jc w:val="center"/>
        </w:trPr>
        <w:tc>
          <w:tcPr>
            <w:tcW w:w="4032" w:type="dxa"/>
            <w:tcBorders>
              <w:top w:val="nil"/>
              <w:left w:val="nil"/>
              <w:bottom w:val="nil"/>
              <w:right w:val="nil"/>
            </w:tcBorders>
          </w:tcPr>
          <w:p w14:paraId="267F40CC" w14:textId="77777777"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p>
        </w:tc>
        <w:tc>
          <w:tcPr>
            <w:tcW w:w="2252" w:type="dxa"/>
            <w:tcBorders>
              <w:top w:val="nil"/>
              <w:left w:val="nil"/>
              <w:bottom w:val="nil"/>
              <w:right w:val="nil"/>
            </w:tcBorders>
          </w:tcPr>
          <w:p w14:paraId="7AE592D8"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(0.71)</w:t>
            </w:r>
          </w:p>
        </w:tc>
        <w:tc>
          <w:tcPr>
            <w:tcW w:w="1968" w:type="dxa"/>
            <w:tcBorders>
              <w:top w:val="nil"/>
              <w:left w:val="nil"/>
              <w:bottom w:val="nil"/>
              <w:right w:val="nil"/>
            </w:tcBorders>
          </w:tcPr>
          <w:p w14:paraId="543F6646"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(-0.67)</w:t>
            </w:r>
          </w:p>
        </w:tc>
        <w:tc>
          <w:tcPr>
            <w:tcW w:w="2060" w:type="dxa"/>
            <w:tcBorders>
              <w:top w:val="nil"/>
              <w:left w:val="nil"/>
              <w:bottom w:val="nil"/>
              <w:right w:val="nil"/>
            </w:tcBorders>
          </w:tcPr>
          <w:p w14:paraId="1F43645F"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(-0.76)</w:t>
            </w:r>
          </w:p>
        </w:tc>
      </w:tr>
      <w:tr w:rsidR="002D74F1" w14:paraId="52DC4A55" w14:textId="77777777" w:rsidTr="00E4121E">
        <w:trPr>
          <w:jc w:val="center"/>
        </w:trPr>
        <w:tc>
          <w:tcPr>
            <w:tcW w:w="4032" w:type="dxa"/>
            <w:tcBorders>
              <w:top w:val="nil"/>
              <w:left w:val="nil"/>
              <w:bottom w:val="nil"/>
              <w:right w:val="nil"/>
            </w:tcBorders>
          </w:tcPr>
          <w:p w14:paraId="5FB10A5C" w14:textId="77777777"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SWITCH*IFRS year</w:t>
            </w:r>
          </w:p>
        </w:tc>
        <w:tc>
          <w:tcPr>
            <w:tcW w:w="2252" w:type="dxa"/>
            <w:tcBorders>
              <w:top w:val="nil"/>
              <w:left w:val="nil"/>
              <w:bottom w:val="nil"/>
              <w:right w:val="nil"/>
            </w:tcBorders>
          </w:tcPr>
          <w:p w14:paraId="25E75B97"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0.263</w:t>
            </w:r>
          </w:p>
        </w:tc>
        <w:tc>
          <w:tcPr>
            <w:tcW w:w="1968" w:type="dxa"/>
            <w:tcBorders>
              <w:top w:val="nil"/>
              <w:left w:val="nil"/>
              <w:bottom w:val="nil"/>
              <w:right w:val="nil"/>
            </w:tcBorders>
          </w:tcPr>
          <w:p w14:paraId="37B18679"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0.027*</w:t>
            </w:r>
          </w:p>
        </w:tc>
        <w:tc>
          <w:tcPr>
            <w:tcW w:w="2060" w:type="dxa"/>
            <w:tcBorders>
              <w:top w:val="nil"/>
              <w:left w:val="nil"/>
              <w:bottom w:val="nil"/>
              <w:right w:val="nil"/>
            </w:tcBorders>
          </w:tcPr>
          <w:p w14:paraId="3080A8E6"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0.014</w:t>
            </w:r>
          </w:p>
        </w:tc>
      </w:tr>
      <w:tr w:rsidR="002D74F1" w14:paraId="745C5B76" w14:textId="77777777" w:rsidTr="00E4121E">
        <w:trPr>
          <w:jc w:val="center"/>
        </w:trPr>
        <w:tc>
          <w:tcPr>
            <w:tcW w:w="4032" w:type="dxa"/>
            <w:tcBorders>
              <w:top w:val="nil"/>
              <w:left w:val="nil"/>
              <w:bottom w:val="nil"/>
              <w:right w:val="nil"/>
            </w:tcBorders>
          </w:tcPr>
          <w:p w14:paraId="681C835B" w14:textId="77777777"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p>
        </w:tc>
        <w:tc>
          <w:tcPr>
            <w:tcW w:w="2252" w:type="dxa"/>
            <w:tcBorders>
              <w:top w:val="nil"/>
              <w:left w:val="nil"/>
              <w:bottom w:val="nil"/>
              <w:right w:val="nil"/>
            </w:tcBorders>
          </w:tcPr>
          <w:p w14:paraId="28E82A27"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(1.49)</w:t>
            </w:r>
          </w:p>
        </w:tc>
        <w:tc>
          <w:tcPr>
            <w:tcW w:w="1968" w:type="dxa"/>
            <w:tcBorders>
              <w:top w:val="nil"/>
              <w:left w:val="nil"/>
              <w:bottom w:val="nil"/>
              <w:right w:val="nil"/>
            </w:tcBorders>
          </w:tcPr>
          <w:p w14:paraId="6DA5E9D0"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(1.74)</w:t>
            </w:r>
          </w:p>
        </w:tc>
        <w:tc>
          <w:tcPr>
            <w:tcW w:w="2060" w:type="dxa"/>
            <w:tcBorders>
              <w:top w:val="nil"/>
              <w:left w:val="nil"/>
              <w:bottom w:val="nil"/>
              <w:right w:val="nil"/>
            </w:tcBorders>
          </w:tcPr>
          <w:p w14:paraId="1107D3FD"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(0.89)</w:t>
            </w:r>
          </w:p>
        </w:tc>
      </w:tr>
      <w:tr w:rsidR="002D74F1" w14:paraId="18F0D7FE" w14:textId="77777777" w:rsidTr="00E4121E">
        <w:trPr>
          <w:jc w:val="center"/>
        </w:trPr>
        <w:tc>
          <w:tcPr>
            <w:tcW w:w="4032" w:type="dxa"/>
            <w:tcBorders>
              <w:top w:val="nil"/>
              <w:left w:val="nil"/>
              <w:bottom w:val="nil"/>
              <w:right w:val="nil"/>
            </w:tcBorders>
          </w:tcPr>
          <w:p w14:paraId="162DB3CF" w14:textId="77777777"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SWITCH*IFRS year + 1</w:t>
            </w:r>
          </w:p>
        </w:tc>
        <w:tc>
          <w:tcPr>
            <w:tcW w:w="2252" w:type="dxa"/>
            <w:tcBorders>
              <w:top w:val="nil"/>
              <w:left w:val="nil"/>
              <w:bottom w:val="nil"/>
              <w:right w:val="nil"/>
            </w:tcBorders>
          </w:tcPr>
          <w:p w14:paraId="7257BC13"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0.168</w:t>
            </w:r>
          </w:p>
        </w:tc>
        <w:tc>
          <w:tcPr>
            <w:tcW w:w="1968" w:type="dxa"/>
            <w:tcBorders>
              <w:top w:val="nil"/>
              <w:left w:val="nil"/>
              <w:bottom w:val="nil"/>
              <w:right w:val="nil"/>
            </w:tcBorders>
          </w:tcPr>
          <w:p w14:paraId="2AD727BB"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-0.005</w:t>
            </w:r>
          </w:p>
        </w:tc>
        <w:tc>
          <w:tcPr>
            <w:tcW w:w="2060" w:type="dxa"/>
            <w:tcBorders>
              <w:top w:val="nil"/>
              <w:left w:val="nil"/>
              <w:bottom w:val="nil"/>
              <w:right w:val="nil"/>
            </w:tcBorders>
          </w:tcPr>
          <w:p w14:paraId="1B1BEA1B"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-0.018</w:t>
            </w:r>
          </w:p>
        </w:tc>
      </w:tr>
      <w:tr w:rsidR="002D74F1" w14:paraId="5BD7B23D" w14:textId="77777777" w:rsidTr="00E4121E">
        <w:trPr>
          <w:jc w:val="center"/>
        </w:trPr>
        <w:tc>
          <w:tcPr>
            <w:tcW w:w="4032" w:type="dxa"/>
            <w:tcBorders>
              <w:top w:val="nil"/>
              <w:left w:val="nil"/>
              <w:bottom w:val="nil"/>
              <w:right w:val="nil"/>
            </w:tcBorders>
          </w:tcPr>
          <w:p w14:paraId="6A9AD801" w14:textId="77777777"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p>
        </w:tc>
        <w:tc>
          <w:tcPr>
            <w:tcW w:w="2252" w:type="dxa"/>
            <w:tcBorders>
              <w:top w:val="nil"/>
              <w:left w:val="nil"/>
              <w:bottom w:val="nil"/>
              <w:right w:val="nil"/>
            </w:tcBorders>
          </w:tcPr>
          <w:p w14:paraId="515D890F"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(0.86)</w:t>
            </w:r>
          </w:p>
        </w:tc>
        <w:tc>
          <w:tcPr>
            <w:tcW w:w="1968" w:type="dxa"/>
            <w:tcBorders>
              <w:top w:val="nil"/>
              <w:left w:val="nil"/>
              <w:bottom w:val="nil"/>
              <w:right w:val="nil"/>
            </w:tcBorders>
          </w:tcPr>
          <w:p w14:paraId="0C5FF778"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(-0.33)</w:t>
            </w:r>
          </w:p>
        </w:tc>
        <w:tc>
          <w:tcPr>
            <w:tcW w:w="2060" w:type="dxa"/>
            <w:tcBorders>
              <w:top w:val="nil"/>
              <w:left w:val="nil"/>
              <w:bottom w:val="nil"/>
              <w:right w:val="nil"/>
            </w:tcBorders>
          </w:tcPr>
          <w:p w14:paraId="58A5631A"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(-0.70)</w:t>
            </w:r>
          </w:p>
        </w:tc>
      </w:tr>
      <w:tr w:rsidR="002D74F1" w14:paraId="653F9F87" w14:textId="77777777" w:rsidTr="00E4121E">
        <w:trPr>
          <w:jc w:val="center"/>
        </w:trPr>
        <w:tc>
          <w:tcPr>
            <w:tcW w:w="4032" w:type="dxa"/>
            <w:tcBorders>
              <w:top w:val="nil"/>
              <w:left w:val="nil"/>
              <w:bottom w:val="nil"/>
              <w:right w:val="nil"/>
            </w:tcBorders>
          </w:tcPr>
          <w:p w14:paraId="7CDDA72C" w14:textId="77777777"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SWITCH*IFRS year + 2</w:t>
            </w:r>
          </w:p>
        </w:tc>
        <w:tc>
          <w:tcPr>
            <w:tcW w:w="2252" w:type="dxa"/>
            <w:tcBorders>
              <w:top w:val="nil"/>
              <w:left w:val="nil"/>
              <w:bottom w:val="nil"/>
              <w:right w:val="nil"/>
            </w:tcBorders>
          </w:tcPr>
          <w:p w14:paraId="5E633B18"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0.183</w:t>
            </w:r>
          </w:p>
        </w:tc>
        <w:tc>
          <w:tcPr>
            <w:tcW w:w="1968" w:type="dxa"/>
            <w:tcBorders>
              <w:top w:val="nil"/>
              <w:left w:val="nil"/>
              <w:bottom w:val="nil"/>
              <w:right w:val="nil"/>
            </w:tcBorders>
          </w:tcPr>
          <w:p w14:paraId="1FDEE827"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0.004</w:t>
            </w:r>
          </w:p>
        </w:tc>
        <w:tc>
          <w:tcPr>
            <w:tcW w:w="2060" w:type="dxa"/>
            <w:tcBorders>
              <w:top w:val="nil"/>
              <w:left w:val="nil"/>
              <w:bottom w:val="nil"/>
              <w:right w:val="nil"/>
            </w:tcBorders>
          </w:tcPr>
          <w:p w14:paraId="457CF13E"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0.006</w:t>
            </w:r>
          </w:p>
        </w:tc>
      </w:tr>
      <w:tr w:rsidR="002D74F1" w14:paraId="3ABD001D" w14:textId="77777777" w:rsidTr="00E4121E">
        <w:trPr>
          <w:jc w:val="center"/>
        </w:trPr>
        <w:tc>
          <w:tcPr>
            <w:tcW w:w="4032" w:type="dxa"/>
            <w:tcBorders>
              <w:top w:val="nil"/>
              <w:left w:val="nil"/>
              <w:bottom w:val="nil"/>
              <w:right w:val="nil"/>
            </w:tcBorders>
          </w:tcPr>
          <w:p w14:paraId="54D7ED3C" w14:textId="77777777"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p>
        </w:tc>
        <w:tc>
          <w:tcPr>
            <w:tcW w:w="2252" w:type="dxa"/>
            <w:tcBorders>
              <w:top w:val="nil"/>
              <w:left w:val="nil"/>
              <w:bottom w:val="nil"/>
              <w:right w:val="nil"/>
            </w:tcBorders>
          </w:tcPr>
          <w:p w14:paraId="7AB505EA"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(1.24)</w:t>
            </w:r>
          </w:p>
        </w:tc>
        <w:tc>
          <w:tcPr>
            <w:tcW w:w="1968" w:type="dxa"/>
            <w:tcBorders>
              <w:top w:val="nil"/>
              <w:left w:val="nil"/>
              <w:bottom w:val="nil"/>
              <w:right w:val="nil"/>
            </w:tcBorders>
          </w:tcPr>
          <w:p w14:paraId="0DB0CA29"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(0.54)</w:t>
            </w:r>
          </w:p>
        </w:tc>
        <w:tc>
          <w:tcPr>
            <w:tcW w:w="2060" w:type="dxa"/>
            <w:tcBorders>
              <w:top w:val="nil"/>
              <w:left w:val="nil"/>
              <w:bottom w:val="nil"/>
              <w:right w:val="nil"/>
            </w:tcBorders>
          </w:tcPr>
          <w:p w14:paraId="52484CF4"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(0.59)</w:t>
            </w:r>
          </w:p>
        </w:tc>
      </w:tr>
      <w:tr w:rsidR="002D74F1" w14:paraId="27C311D4" w14:textId="77777777" w:rsidTr="00E4121E">
        <w:trPr>
          <w:jc w:val="center"/>
        </w:trPr>
        <w:tc>
          <w:tcPr>
            <w:tcW w:w="4032" w:type="dxa"/>
            <w:tcBorders>
              <w:top w:val="nil"/>
              <w:left w:val="nil"/>
              <w:bottom w:val="nil"/>
              <w:right w:val="nil"/>
            </w:tcBorders>
          </w:tcPr>
          <w:p w14:paraId="7FBA1958" w14:textId="77777777"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SWITCH*IFRS year + 3</w:t>
            </w:r>
          </w:p>
        </w:tc>
        <w:tc>
          <w:tcPr>
            <w:tcW w:w="2252" w:type="dxa"/>
            <w:tcBorders>
              <w:top w:val="nil"/>
              <w:left w:val="nil"/>
              <w:bottom w:val="nil"/>
              <w:right w:val="nil"/>
            </w:tcBorders>
          </w:tcPr>
          <w:p w14:paraId="216B49BE"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0.135</w:t>
            </w:r>
          </w:p>
        </w:tc>
        <w:tc>
          <w:tcPr>
            <w:tcW w:w="1968" w:type="dxa"/>
            <w:tcBorders>
              <w:top w:val="nil"/>
              <w:left w:val="nil"/>
              <w:bottom w:val="nil"/>
              <w:right w:val="nil"/>
            </w:tcBorders>
          </w:tcPr>
          <w:p w14:paraId="2BF8D2C5"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0.011</w:t>
            </w:r>
          </w:p>
        </w:tc>
        <w:tc>
          <w:tcPr>
            <w:tcW w:w="2060" w:type="dxa"/>
            <w:tcBorders>
              <w:top w:val="nil"/>
              <w:left w:val="nil"/>
              <w:bottom w:val="nil"/>
              <w:right w:val="nil"/>
            </w:tcBorders>
          </w:tcPr>
          <w:p w14:paraId="03BA93C1"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0.006</w:t>
            </w:r>
          </w:p>
        </w:tc>
      </w:tr>
      <w:tr w:rsidR="002D74F1" w14:paraId="25063505" w14:textId="77777777" w:rsidTr="00E4121E">
        <w:trPr>
          <w:jc w:val="center"/>
        </w:trPr>
        <w:tc>
          <w:tcPr>
            <w:tcW w:w="4032" w:type="dxa"/>
            <w:tcBorders>
              <w:top w:val="nil"/>
              <w:left w:val="nil"/>
              <w:bottom w:val="nil"/>
              <w:right w:val="nil"/>
            </w:tcBorders>
          </w:tcPr>
          <w:p w14:paraId="018FCD22" w14:textId="77777777"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p>
        </w:tc>
        <w:tc>
          <w:tcPr>
            <w:tcW w:w="2252" w:type="dxa"/>
            <w:tcBorders>
              <w:top w:val="nil"/>
              <w:left w:val="nil"/>
              <w:bottom w:val="nil"/>
              <w:right w:val="nil"/>
            </w:tcBorders>
          </w:tcPr>
          <w:p w14:paraId="04BD4009"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(0.81)</w:t>
            </w:r>
          </w:p>
        </w:tc>
        <w:tc>
          <w:tcPr>
            <w:tcW w:w="1968" w:type="dxa"/>
            <w:tcBorders>
              <w:top w:val="nil"/>
              <w:left w:val="nil"/>
              <w:bottom w:val="nil"/>
              <w:right w:val="nil"/>
            </w:tcBorders>
          </w:tcPr>
          <w:p w14:paraId="6B4E52F7"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(1.16)</w:t>
            </w:r>
          </w:p>
        </w:tc>
        <w:tc>
          <w:tcPr>
            <w:tcW w:w="2060" w:type="dxa"/>
            <w:tcBorders>
              <w:top w:val="nil"/>
              <w:left w:val="nil"/>
              <w:bottom w:val="nil"/>
              <w:right w:val="nil"/>
            </w:tcBorders>
          </w:tcPr>
          <w:p w14:paraId="36D1ADD2"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(0.45)</w:t>
            </w:r>
          </w:p>
        </w:tc>
      </w:tr>
      <w:tr w:rsidR="002D74F1" w14:paraId="202D0819" w14:textId="77777777" w:rsidTr="00E4121E">
        <w:trPr>
          <w:jc w:val="center"/>
        </w:trPr>
        <w:tc>
          <w:tcPr>
            <w:tcW w:w="4032" w:type="dxa"/>
            <w:tcBorders>
              <w:top w:val="nil"/>
              <w:left w:val="nil"/>
              <w:bottom w:val="nil"/>
              <w:right w:val="nil"/>
            </w:tcBorders>
          </w:tcPr>
          <w:p w14:paraId="7A2CD196" w14:textId="6457F589"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SWITCH*POST*S</w:t>
            </w:r>
            <w:r w:rsidR="003B251A">
              <w:rPr>
                <w:rFonts w:ascii="Times New Roman" w:hAnsi="Times New Roman" w:cs="Times New Roman"/>
                <w:sz w:val="24"/>
                <w:szCs w:val="24"/>
              </w:rPr>
              <w:t>ALES_</w:t>
            </w:r>
            <w:r>
              <w:rPr>
                <w:rFonts w:ascii="Times New Roman" w:hAnsi="Times New Roman" w:cs="Times New Roman"/>
                <w:sz w:val="24"/>
                <w:szCs w:val="24"/>
              </w:rPr>
              <w:t>G</w:t>
            </w:r>
            <w:r w:rsidR="003B251A">
              <w:rPr>
                <w:rFonts w:ascii="Times New Roman" w:hAnsi="Times New Roman" w:cs="Times New Roman"/>
                <w:sz w:val="24"/>
                <w:szCs w:val="24"/>
              </w:rPr>
              <w:t>ROWTH</w:t>
            </w:r>
          </w:p>
        </w:tc>
        <w:tc>
          <w:tcPr>
            <w:tcW w:w="2252" w:type="dxa"/>
            <w:tcBorders>
              <w:top w:val="nil"/>
              <w:left w:val="nil"/>
              <w:bottom w:val="nil"/>
              <w:right w:val="nil"/>
            </w:tcBorders>
          </w:tcPr>
          <w:p w14:paraId="2471605B"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0.284*</w:t>
            </w:r>
          </w:p>
        </w:tc>
        <w:tc>
          <w:tcPr>
            <w:tcW w:w="1968" w:type="dxa"/>
            <w:tcBorders>
              <w:top w:val="nil"/>
              <w:left w:val="nil"/>
              <w:bottom w:val="nil"/>
              <w:right w:val="nil"/>
            </w:tcBorders>
          </w:tcPr>
          <w:p w14:paraId="2C8A3616"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0.046***</w:t>
            </w:r>
          </w:p>
        </w:tc>
        <w:tc>
          <w:tcPr>
            <w:tcW w:w="2060" w:type="dxa"/>
            <w:tcBorders>
              <w:top w:val="nil"/>
              <w:left w:val="nil"/>
              <w:bottom w:val="nil"/>
              <w:right w:val="nil"/>
            </w:tcBorders>
          </w:tcPr>
          <w:p w14:paraId="4D49B838"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0.109**</w:t>
            </w:r>
          </w:p>
        </w:tc>
      </w:tr>
      <w:tr w:rsidR="002D74F1" w14:paraId="09834A00" w14:textId="77777777" w:rsidTr="00E4121E">
        <w:trPr>
          <w:jc w:val="center"/>
        </w:trPr>
        <w:tc>
          <w:tcPr>
            <w:tcW w:w="4032" w:type="dxa"/>
            <w:tcBorders>
              <w:top w:val="nil"/>
              <w:left w:val="nil"/>
              <w:bottom w:val="nil"/>
              <w:right w:val="nil"/>
            </w:tcBorders>
          </w:tcPr>
          <w:p w14:paraId="7A9C730E" w14:textId="77777777"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p>
        </w:tc>
        <w:tc>
          <w:tcPr>
            <w:tcW w:w="2252" w:type="dxa"/>
            <w:tcBorders>
              <w:top w:val="nil"/>
              <w:left w:val="nil"/>
              <w:bottom w:val="nil"/>
              <w:right w:val="nil"/>
            </w:tcBorders>
          </w:tcPr>
          <w:p w14:paraId="5EF6E754"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(1.71)</w:t>
            </w:r>
          </w:p>
        </w:tc>
        <w:tc>
          <w:tcPr>
            <w:tcW w:w="1968" w:type="dxa"/>
            <w:tcBorders>
              <w:top w:val="nil"/>
              <w:left w:val="nil"/>
              <w:bottom w:val="nil"/>
              <w:right w:val="nil"/>
            </w:tcBorders>
          </w:tcPr>
          <w:p w14:paraId="41157C79"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(3.03)</w:t>
            </w:r>
          </w:p>
        </w:tc>
        <w:tc>
          <w:tcPr>
            <w:tcW w:w="2060" w:type="dxa"/>
            <w:tcBorders>
              <w:top w:val="nil"/>
              <w:left w:val="nil"/>
              <w:bottom w:val="nil"/>
              <w:right w:val="nil"/>
            </w:tcBorders>
          </w:tcPr>
          <w:p w14:paraId="70550A91"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p>
        </w:tc>
      </w:tr>
      <w:tr w:rsidR="002D74F1" w14:paraId="28160833" w14:textId="77777777" w:rsidTr="00E4121E">
        <w:trPr>
          <w:jc w:val="center"/>
        </w:trPr>
        <w:tc>
          <w:tcPr>
            <w:tcW w:w="4032" w:type="dxa"/>
            <w:tcBorders>
              <w:top w:val="nil"/>
              <w:left w:val="nil"/>
              <w:bottom w:val="nil"/>
              <w:right w:val="nil"/>
            </w:tcBorders>
          </w:tcPr>
          <w:p w14:paraId="0CBA9614" w14:textId="5D188347"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POST*S</w:t>
            </w:r>
            <w:r w:rsidR="003B251A">
              <w:rPr>
                <w:rFonts w:ascii="Times New Roman" w:hAnsi="Times New Roman" w:cs="Times New Roman"/>
                <w:sz w:val="24"/>
                <w:szCs w:val="24"/>
              </w:rPr>
              <w:t>ALES_</w:t>
            </w:r>
            <w:r>
              <w:rPr>
                <w:rFonts w:ascii="Times New Roman" w:hAnsi="Times New Roman" w:cs="Times New Roman"/>
                <w:sz w:val="24"/>
                <w:szCs w:val="24"/>
              </w:rPr>
              <w:t>G</w:t>
            </w:r>
            <w:r w:rsidR="003B251A">
              <w:rPr>
                <w:rFonts w:ascii="Times New Roman" w:hAnsi="Times New Roman" w:cs="Times New Roman"/>
                <w:sz w:val="24"/>
                <w:szCs w:val="24"/>
              </w:rPr>
              <w:t>ROWTH</w:t>
            </w:r>
          </w:p>
        </w:tc>
        <w:tc>
          <w:tcPr>
            <w:tcW w:w="2252" w:type="dxa"/>
            <w:tcBorders>
              <w:top w:val="nil"/>
              <w:left w:val="nil"/>
              <w:bottom w:val="nil"/>
              <w:right w:val="nil"/>
            </w:tcBorders>
          </w:tcPr>
          <w:p w14:paraId="6D1C39F5"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-0.112</w:t>
            </w:r>
          </w:p>
        </w:tc>
        <w:tc>
          <w:tcPr>
            <w:tcW w:w="1968" w:type="dxa"/>
            <w:tcBorders>
              <w:top w:val="nil"/>
              <w:left w:val="nil"/>
              <w:bottom w:val="nil"/>
              <w:right w:val="nil"/>
            </w:tcBorders>
          </w:tcPr>
          <w:p w14:paraId="6EE84AC9"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-0.021***</w:t>
            </w:r>
          </w:p>
        </w:tc>
        <w:tc>
          <w:tcPr>
            <w:tcW w:w="2060" w:type="dxa"/>
            <w:tcBorders>
              <w:top w:val="nil"/>
              <w:left w:val="nil"/>
              <w:bottom w:val="nil"/>
              <w:right w:val="nil"/>
            </w:tcBorders>
          </w:tcPr>
          <w:p w14:paraId="6089F8AE"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-0.031***</w:t>
            </w:r>
          </w:p>
        </w:tc>
      </w:tr>
      <w:tr w:rsidR="002D74F1" w14:paraId="30579201" w14:textId="77777777" w:rsidTr="00E4121E">
        <w:trPr>
          <w:jc w:val="center"/>
        </w:trPr>
        <w:tc>
          <w:tcPr>
            <w:tcW w:w="4032" w:type="dxa"/>
            <w:tcBorders>
              <w:top w:val="nil"/>
              <w:left w:val="nil"/>
              <w:bottom w:val="nil"/>
              <w:right w:val="nil"/>
            </w:tcBorders>
          </w:tcPr>
          <w:p w14:paraId="70454FF6" w14:textId="77777777"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p>
        </w:tc>
        <w:tc>
          <w:tcPr>
            <w:tcW w:w="2252" w:type="dxa"/>
            <w:tcBorders>
              <w:top w:val="nil"/>
              <w:left w:val="nil"/>
              <w:bottom w:val="nil"/>
              <w:right w:val="nil"/>
            </w:tcBorders>
          </w:tcPr>
          <w:p w14:paraId="2E197C7D"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(-0.93)</w:t>
            </w:r>
          </w:p>
        </w:tc>
        <w:tc>
          <w:tcPr>
            <w:tcW w:w="1968" w:type="dxa"/>
            <w:tcBorders>
              <w:top w:val="nil"/>
              <w:left w:val="nil"/>
              <w:bottom w:val="nil"/>
              <w:right w:val="nil"/>
            </w:tcBorders>
          </w:tcPr>
          <w:p w14:paraId="22C9A573"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(-3.09)</w:t>
            </w:r>
          </w:p>
        </w:tc>
        <w:tc>
          <w:tcPr>
            <w:tcW w:w="2060" w:type="dxa"/>
            <w:tcBorders>
              <w:top w:val="nil"/>
              <w:left w:val="nil"/>
              <w:bottom w:val="nil"/>
              <w:right w:val="nil"/>
            </w:tcBorders>
          </w:tcPr>
          <w:p w14:paraId="2CDCDEAE"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(-3.16)</w:t>
            </w:r>
          </w:p>
        </w:tc>
      </w:tr>
      <w:tr w:rsidR="002D74F1" w14:paraId="38AAFB5A" w14:textId="77777777" w:rsidTr="00E4121E">
        <w:trPr>
          <w:jc w:val="center"/>
        </w:trPr>
        <w:tc>
          <w:tcPr>
            <w:tcW w:w="4032" w:type="dxa"/>
            <w:tcBorders>
              <w:top w:val="nil"/>
              <w:left w:val="nil"/>
              <w:bottom w:val="nil"/>
              <w:right w:val="nil"/>
            </w:tcBorders>
          </w:tcPr>
          <w:p w14:paraId="2A88ED35" w14:textId="4F85E2D5"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SWITCH*S</w:t>
            </w:r>
            <w:r w:rsidR="003B251A">
              <w:rPr>
                <w:rFonts w:ascii="Times New Roman" w:hAnsi="Times New Roman" w:cs="Times New Roman"/>
                <w:sz w:val="24"/>
                <w:szCs w:val="24"/>
              </w:rPr>
              <w:t>ALES_</w:t>
            </w:r>
            <w:r>
              <w:rPr>
                <w:rFonts w:ascii="Times New Roman" w:hAnsi="Times New Roman" w:cs="Times New Roman"/>
                <w:sz w:val="24"/>
                <w:szCs w:val="24"/>
              </w:rPr>
              <w:t>G</w:t>
            </w:r>
            <w:r w:rsidR="003B251A">
              <w:rPr>
                <w:rFonts w:ascii="Times New Roman" w:hAnsi="Times New Roman" w:cs="Times New Roman"/>
                <w:sz w:val="24"/>
                <w:szCs w:val="24"/>
              </w:rPr>
              <w:t>ROWTH</w:t>
            </w:r>
          </w:p>
        </w:tc>
        <w:tc>
          <w:tcPr>
            <w:tcW w:w="2252" w:type="dxa"/>
            <w:tcBorders>
              <w:top w:val="nil"/>
              <w:left w:val="nil"/>
              <w:bottom w:val="nil"/>
              <w:right w:val="nil"/>
            </w:tcBorders>
          </w:tcPr>
          <w:p w14:paraId="6200D09C"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-0.161*</w:t>
            </w:r>
          </w:p>
        </w:tc>
        <w:tc>
          <w:tcPr>
            <w:tcW w:w="1968" w:type="dxa"/>
            <w:tcBorders>
              <w:top w:val="nil"/>
              <w:left w:val="nil"/>
              <w:bottom w:val="nil"/>
              <w:right w:val="nil"/>
            </w:tcBorders>
          </w:tcPr>
          <w:p w14:paraId="544FE004"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-0.024**</w:t>
            </w:r>
          </w:p>
        </w:tc>
        <w:tc>
          <w:tcPr>
            <w:tcW w:w="2060" w:type="dxa"/>
            <w:tcBorders>
              <w:top w:val="nil"/>
              <w:left w:val="nil"/>
              <w:bottom w:val="nil"/>
              <w:right w:val="nil"/>
            </w:tcBorders>
          </w:tcPr>
          <w:p w14:paraId="1751D026"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-0.068**</w:t>
            </w:r>
          </w:p>
        </w:tc>
      </w:tr>
      <w:tr w:rsidR="002D74F1" w14:paraId="470D1415" w14:textId="77777777" w:rsidTr="00E4121E">
        <w:trPr>
          <w:jc w:val="center"/>
        </w:trPr>
        <w:tc>
          <w:tcPr>
            <w:tcW w:w="4032" w:type="dxa"/>
            <w:tcBorders>
              <w:top w:val="nil"/>
              <w:left w:val="nil"/>
              <w:bottom w:val="nil"/>
              <w:right w:val="nil"/>
            </w:tcBorders>
          </w:tcPr>
          <w:p w14:paraId="1279725B" w14:textId="77777777"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p>
        </w:tc>
        <w:tc>
          <w:tcPr>
            <w:tcW w:w="2252" w:type="dxa"/>
            <w:tcBorders>
              <w:top w:val="nil"/>
              <w:left w:val="nil"/>
              <w:bottom w:val="nil"/>
              <w:right w:val="nil"/>
            </w:tcBorders>
          </w:tcPr>
          <w:p w14:paraId="5824CB8C"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(-1.89)</w:t>
            </w:r>
          </w:p>
        </w:tc>
        <w:tc>
          <w:tcPr>
            <w:tcW w:w="1968" w:type="dxa"/>
            <w:tcBorders>
              <w:top w:val="nil"/>
              <w:left w:val="nil"/>
              <w:bottom w:val="nil"/>
              <w:right w:val="nil"/>
            </w:tcBorders>
          </w:tcPr>
          <w:p w14:paraId="16A1A66F"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(-2.07)</w:t>
            </w:r>
          </w:p>
        </w:tc>
        <w:tc>
          <w:tcPr>
            <w:tcW w:w="2060" w:type="dxa"/>
            <w:tcBorders>
              <w:top w:val="nil"/>
              <w:left w:val="nil"/>
              <w:bottom w:val="nil"/>
              <w:right w:val="nil"/>
            </w:tcBorders>
          </w:tcPr>
          <w:p w14:paraId="527AAB5E"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(-2.37)</w:t>
            </w:r>
          </w:p>
        </w:tc>
      </w:tr>
      <w:tr w:rsidR="002D74F1" w14:paraId="639466DD" w14:textId="77777777" w:rsidTr="00E4121E">
        <w:trPr>
          <w:jc w:val="center"/>
        </w:trPr>
        <w:tc>
          <w:tcPr>
            <w:tcW w:w="4032" w:type="dxa"/>
            <w:tcBorders>
              <w:top w:val="nil"/>
              <w:left w:val="nil"/>
              <w:bottom w:val="nil"/>
              <w:right w:val="nil"/>
            </w:tcBorders>
          </w:tcPr>
          <w:p w14:paraId="5BC848C9" w14:textId="77777777"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MVE</w:t>
            </w:r>
          </w:p>
        </w:tc>
        <w:tc>
          <w:tcPr>
            <w:tcW w:w="2252" w:type="dxa"/>
            <w:tcBorders>
              <w:top w:val="nil"/>
              <w:left w:val="nil"/>
              <w:bottom w:val="nil"/>
              <w:right w:val="nil"/>
            </w:tcBorders>
          </w:tcPr>
          <w:p w14:paraId="2D9D3B16"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0.183***</w:t>
            </w:r>
          </w:p>
        </w:tc>
        <w:tc>
          <w:tcPr>
            <w:tcW w:w="1968" w:type="dxa"/>
            <w:tcBorders>
              <w:top w:val="nil"/>
              <w:left w:val="nil"/>
              <w:bottom w:val="nil"/>
              <w:right w:val="nil"/>
            </w:tcBorders>
          </w:tcPr>
          <w:p w14:paraId="03F07C55"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w:t>
            </w:r>
          </w:p>
        </w:tc>
        <w:tc>
          <w:tcPr>
            <w:tcW w:w="2060" w:type="dxa"/>
            <w:tcBorders>
              <w:top w:val="nil"/>
              <w:left w:val="nil"/>
              <w:bottom w:val="nil"/>
              <w:right w:val="nil"/>
            </w:tcBorders>
          </w:tcPr>
          <w:p w14:paraId="3BDE8B57"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0.009</w:t>
            </w:r>
          </w:p>
        </w:tc>
      </w:tr>
      <w:tr w:rsidR="002D74F1" w14:paraId="11143C2D" w14:textId="77777777" w:rsidTr="00E4121E">
        <w:trPr>
          <w:jc w:val="center"/>
        </w:trPr>
        <w:tc>
          <w:tcPr>
            <w:tcW w:w="4032" w:type="dxa"/>
            <w:tcBorders>
              <w:top w:val="nil"/>
              <w:left w:val="nil"/>
              <w:bottom w:val="nil"/>
              <w:right w:val="nil"/>
            </w:tcBorders>
          </w:tcPr>
          <w:p w14:paraId="4F3B1974" w14:textId="77777777"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p>
        </w:tc>
        <w:tc>
          <w:tcPr>
            <w:tcW w:w="2252" w:type="dxa"/>
            <w:tcBorders>
              <w:top w:val="nil"/>
              <w:left w:val="nil"/>
              <w:bottom w:val="nil"/>
              <w:right w:val="nil"/>
            </w:tcBorders>
          </w:tcPr>
          <w:p w14:paraId="294C69EF"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(3.78)</w:t>
            </w:r>
          </w:p>
        </w:tc>
        <w:tc>
          <w:tcPr>
            <w:tcW w:w="1968" w:type="dxa"/>
            <w:tcBorders>
              <w:top w:val="nil"/>
              <w:left w:val="nil"/>
              <w:bottom w:val="nil"/>
              <w:right w:val="nil"/>
            </w:tcBorders>
          </w:tcPr>
          <w:p w14:paraId="7388B3C9"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(0.83)</w:t>
            </w:r>
          </w:p>
        </w:tc>
        <w:tc>
          <w:tcPr>
            <w:tcW w:w="2060" w:type="dxa"/>
            <w:tcBorders>
              <w:top w:val="nil"/>
              <w:left w:val="nil"/>
              <w:bottom w:val="nil"/>
              <w:right w:val="nil"/>
            </w:tcBorders>
          </w:tcPr>
          <w:p w14:paraId="5E662E8A"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(1.53)</w:t>
            </w:r>
          </w:p>
        </w:tc>
      </w:tr>
      <w:tr w:rsidR="002D74F1" w14:paraId="1943EAD9" w14:textId="77777777" w:rsidTr="00E4121E">
        <w:trPr>
          <w:jc w:val="center"/>
        </w:trPr>
        <w:tc>
          <w:tcPr>
            <w:tcW w:w="4032" w:type="dxa"/>
            <w:tcBorders>
              <w:top w:val="nil"/>
              <w:left w:val="nil"/>
              <w:bottom w:val="nil"/>
              <w:right w:val="nil"/>
            </w:tcBorders>
          </w:tcPr>
          <w:p w14:paraId="50554E3B" w14:textId="3F6CF5E3"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TOBIN</w:t>
            </w:r>
            <w:r w:rsidR="004E3FB1">
              <w:rPr>
                <w:rFonts w:ascii="Times New Roman" w:hAnsi="Times New Roman" w:cs="Times New Roman"/>
                <w:sz w:val="24"/>
                <w:szCs w:val="24"/>
              </w:rPr>
              <w:t>’s</w:t>
            </w:r>
            <w:r>
              <w:rPr>
                <w:rFonts w:ascii="Times New Roman" w:hAnsi="Times New Roman" w:cs="Times New Roman"/>
                <w:sz w:val="24"/>
                <w:szCs w:val="24"/>
              </w:rPr>
              <w:t xml:space="preserve"> Q</w:t>
            </w:r>
          </w:p>
        </w:tc>
        <w:tc>
          <w:tcPr>
            <w:tcW w:w="2252" w:type="dxa"/>
            <w:tcBorders>
              <w:top w:val="nil"/>
              <w:left w:val="nil"/>
              <w:bottom w:val="nil"/>
              <w:right w:val="nil"/>
            </w:tcBorders>
          </w:tcPr>
          <w:p w14:paraId="73A71D00"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-0.013</w:t>
            </w:r>
          </w:p>
        </w:tc>
        <w:tc>
          <w:tcPr>
            <w:tcW w:w="1968" w:type="dxa"/>
            <w:tcBorders>
              <w:top w:val="nil"/>
              <w:left w:val="nil"/>
              <w:bottom w:val="nil"/>
              <w:right w:val="nil"/>
            </w:tcBorders>
          </w:tcPr>
          <w:p w14:paraId="6D107498"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w:t>
            </w:r>
          </w:p>
        </w:tc>
        <w:tc>
          <w:tcPr>
            <w:tcW w:w="2060" w:type="dxa"/>
            <w:tcBorders>
              <w:top w:val="nil"/>
              <w:left w:val="nil"/>
              <w:bottom w:val="nil"/>
              <w:right w:val="nil"/>
            </w:tcBorders>
          </w:tcPr>
          <w:p w14:paraId="2B55E521"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w:t>
            </w:r>
          </w:p>
        </w:tc>
      </w:tr>
      <w:tr w:rsidR="002D74F1" w14:paraId="7B31FBB9" w14:textId="77777777" w:rsidTr="00E4121E">
        <w:trPr>
          <w:jc w:val="center"/>
        </w:trPr>
        <w:tc>
          <w:tcPr>
            <w:tcW w:w="4032" w:type="dxa"/>
            <w:tcBorders>
              <w:top w:val="nil"/>
              <w:left w:val="nil"/>
              <w:bottom w:val="nil"/>
              <w:right w:val="nil"/>
            </w:tcBorders>
          </w:tcPr>
          <w:p w14:paraId="5D9541B9" w14:textId="77777777"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p>
        </w:tc>
        <w:tc>
          <w:tcPr>
            <w:tcW w:w="2252" w:type="dxa"/>
            <w:tcBorders>
              <w:top w:val="nil"/>
              <w:left w:val="nil"/>
              <w:bottom w:val="nil"/>
              <w:right w:val="nil"/>
            </w:tcBorders>
          </w:tcPr>
          <w:p w14:paraId="42074D91"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(-0.94)</w:t>
            </w:r>
          </w:p>
        </w:tc>
        <w:tc>
          <w:tcPr>
            <w:tcW w:w="1968" w:type="dxa"/>
            <w:tcBorders>
              <w:top w:val="nil"/>
              <w:left w:val="nil"/>
              <w:bottom w:val="nil"/>
              <w:right w:val="nil"/>
            </w:tcBorders>
          </w:tcPr>
          <w:p w14:paraId="2D379B14"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(-0.33)</w:t>
            </w:r>
          </w:p>
        </w:tc>
        <w:tc>
          <w:tcPr>
            <w:tcW w:w="2060" w:type="dxa"/>
            <w:tcBorders>
              <w:top w:val="nil"/>
              <w:left w:val="nil"/>
              <w:bottom w:val="nil"/>
              <w:right w:val="nil"/>
            </w:tcBorders>
          </w:tcPr>
          <w:p w14:paraId="49451B37"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(-0.90)</w:t>
            </w:r>
          </w:p>
        </w:tc>
      </w:tr>
      <w:tr w:rsidR="002D74F1" w14:paraId="2F8C1885" w14:textId="77777777" w:rsidTr="00E4121E">
        <w:trPr>
          <w:jc w:val="center"/>
        </w:trPr>
        <w:tc>
          <w:tcPr>
            <w:tcW w:w="4032" w:type="dxa"/>
            <w:tcBorders>
              <w:top w:val="nil"/>
              <w:left w:val="nil"/>
              <w:bottom w:val="nil"/>
              <w:right w:val="nil"/>
            </w:tcBorders>
          </w:tcPr>
          <w:p w14:paraId="4792D3E1" w14:textId="77777777"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GROWTH</w:t>
            </w:r>
          </w:p>
        </w:tc>
        <w:tc>
          <w:tcPr>
            <w:tcW w:w="2252" w:type="dxa"/>
            <w:tcBorders>
              <w:top w:val="nil"/>
              <w:left w:val="nil"/>
              <w:bottom w:val="nil"/>
              <w:right w:val="nil"/>
            </w:tcBorders>
          </w:tcPr>
          <w:p w14:paraId="66D73953"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0.539*</w:t>
            </w:r>
          </w:p>
        </w:tc>
        <w:tc>
          <w:tcPr>
            <w:tcW w:w="1968" w:type="dxa"/>
            <w:tcBorders>
              <w:top w:val="nil"/>
              <w:left w:val="nil"/>
              <w:bottom w:val="nil"/>
              <w:right w:val="nil"/>
            </w:tcBorders>
          </w:tcPr>
          <w:p w14:paraId="69BF1624"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0.057**</w:t>
            </w:r>
          </w:p>
        </w:tc>
        <w:tc>
          <w:tcPr>
            <w:tcW w:w="2060" w:type="dxa"/>
            <w:tcBorders>
              <w:top w:val="nil"/>
              <w:left w:val="nil"/>
              <w:bottom w:val="nil"/>
              <w:right w:val="nil"/>
            </w:tcBorders>
          </w:tcPr>
          <w:p w14:paraId="62C15FFB"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0.043</w:t>
            </w:r>
          </w:p>
        </w:tc>
      </w:tr>
      <w:tr w:rsidR="002D74F1" w14:paraId="3E3A135A" w14:textId="77777777" w:rsidTr="00E4121E">
        <w:trPr>
          <w:jc w:val="center"/>
        </w:trPr>
        <w:tc>
          <w:tcPr>
            <w:tcW w:w="4032" w:type="dxa"/>
            <w:tcBorders>
              <w:top w:val="nil"/>
              <w:left w:val="nil"/>
              <w:bottom w:val="nil"/>
              <w:right w:val="nil"/>
            </w:tcBorders>
          </w:tcPr>
          <w:p w14:paraId="2C957538" w14:textId="77777777"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p>
        </w:tc>
        <w:tc>
          <w:tcPr>
            <w:tcW w:w="2252" w:type="dxa"/>
            <w:tcBorders>
              <w:top w:val="nil"/>
              <w:left w:val="nil"/>
              <w:bottom w:val="nil"/>
              <w:right w:val="nil"/>
            </w:tcBorders>
          </w:tcPr>
          <w:p w14:paraId="7CBEA315"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(1.80)</w:t>
            </w:r>
          </w:p>
        </w:tc>
        <w:tc>
          <w:tcPr>
            <w:tcW w:w="1968" w:type="dxa"/>
            <w:tcBorders>
              <w:top w:val="nil"/>
              <w:left w:val="nil"/>
              <w:bottom w:val="nil"/>
              <w:right w:val="nil"/>
            </w:tcBorders>
          </w:tcPr>
          <w:p w14:paraId="3883503E"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(2.10)</w:t>
            </w:r>
          </w:p>
        </w:tc>
        <w:tc>
          <w:tcPr>
            <w:tcW w:w="2060" w:type="dxa"/>
            <w:tcBorders>
              <w:top w:val="nil"/>
              <w:left w:val="nil"/>
              <w:bottom w:val="nil"/>
              <w:right w:val="nil"/>
            </w:tcBorders>
          </w:tcPr>
          <w:p w14:paraId="20AA3EDB"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(0.97)</w:t>
            </w:r>
          </w:p>
        </w:tc>
      </w:tr>
      <w:tr w:rsidR="002D74F1" w14:paraId="46A7CAF4" w14:textId="77777777" w:rsidTr="00E4121E">
        <w:trPr>
          <w:jc w:val="center"/>
        </w:trPr>
        <w:tc>
          <w:tcPr>
            <w:tcW w:w="4032" w:type="dxa"/>
            <w:tcBorders>
              <w:top w:val="nil"/>
              <w:left w:val="nil"/>
              <w:bottom w:val="nil"/>
              <w:right w:val="nil"/>
            </w:tcBorders>
          </w:tcPr>
          <w:p w14:paraId="55053B96" w14:textId="77777777"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LEVERAGE</w:t>
            </w:r>
          </w:p>
        </w:tc>
        <w:tc>
          <w:tcPr>
            <w:tcW w:w="2252" w:type="dxa"/>
            <w:tcBorders>
              <w:top w:val="nil"/>
              <w:left w:val="nil"/>
              <w:bottom w:val="nil"/>
              <w:right w:val="nil"/>
            </w:tcBorders>
          </w:tcPr>
          <w:p w14:paraId="44CBC5CE"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-1.761</w:t>
            </w:r>
          </w:p>
        </w:tc>
        <w:tc>
          <w:tcPr>
            <w:tcW w:w="1968" w:type="dxa"/>
            <w:tcBorders>
              <w:top w:val="nil"/>
              <w:left w:val="nil"/>
              <w:bottom w:val="nil"/>
              <w:right w:val="nil"/>
            </w:tcBorders>
          </w:tcPr>
          <w:p w14:paraId="58704148"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-0.181**</w:t>
            </w:r>
          </w:p>
        </w:tc>
        <w:tc>
          <w:tcPr>
            <w:tcW w:w="2060" w:type="dxa"/>
            <w:tcBorders>
              <w:top w:val="nil"/>
              <w:left w:val="nil"/>
              <w:bottom w:val="nil"/>
              <w:right w:val="nil"/>
            </w:tcBorders>
          </w:tcPr>
          <w:p w14:paraId="65855201"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-0.080</w:t>
            </w:r>
          </w:p>
        </w:tc>
      </w:tr>
      <w:tr w:rsidR="002D74F1" w14:paraId="7686F435" w14:textId="77777777" w:rsidTr="00E4121E">
        <w:trPr>
          <w:jc w:val="center"/>
        </w:trPr>
        <w:tc>
          <w:tcPr>
            <w:tcW w:w="4032" w:type="dxa"/>
            <w:tcBorders>
              <w:top w:val="nil"/>
              <w:left w:val="nil"/>
              <w:bottom w:val="nil"/>
              <w:right w:val="nil"/>
            </w:tcBorders>
          </w:tcPr>
          <w:p w14:paraId="2E21BD45" w14:textId="77777777"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p>
        </w:tc>
        <w:tc>
          <w:tcPr>
            <w:tcW w:w="2252" w:type="dxa"/>
            <w:tcBorders>
              <w:top w:val="nil"/>
              <w:left w:val="nil"/>
              <w:bottom w:val="nil"/>
              <w:right w:val="nil"/>
            </w:tcBorders>
          </w:tcPr>
          <w:p w14:paraId="5F66D69B"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(-1.64)</w:t>
            </w:r>
          </w:p>
        </w:tc>
        <w:tc>
          <w:tcPr>
            <w:tcW w:w="1968" w:type="dxa"/>
            <w:tcBorders>
              <w:top w:val="nil"/>
              <w:left w:val="nil"/>
              <w:bottom w:val="nil"/>
              <w:right w:val="nil"/>
            </w:tcBorders>
          </w:tcPr>
          <w:p w14:paraId="0743F0A6"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(-2.10)</w:t>
            </w:r>
          </w:p>
        </w:tc>
        <w:tc>
          <w:tcPr>
            <w:tcW w:w="2060" w:type="dxa"/>
            <w:tcBorders>
              <w:top w:val="nil"/>
              <w:left w:val="nil"/>
              <w:bottom w:val="nil"/>
              <w:right w:val="nil"/>
            </w:tcBorders>
          </w:tcPr>
          <w:p w14:paraId="5473B8D7"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(-0.92)</w:t>
            </w:r>
          </w:p>
        </w:tc>
      </w:tr>
      <w:tr w:rsidR="002D74F1" w14:paraId="62926081" w14:textId="77777777" w:rsidTr="00E4121E">
        <w:trPr>
          <w:jc w:val="center"/>
        </w:trPr>
        <w:tc>
          <w:tcPr>
            <w:tcW w:w="4032" w:type="dxa"/>
            <w:tcBorders>
              <w:top w:val="nil"/>
              <w:left w:val="nil"/>
              <w:bottom w:val="nil"/>
              <w:right w:val="nil"/>
            </w:tcBorders>
          </w:tcPr>
          <w:p w14:paraId="325388DF" w14:textId="77777777"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CFO</w:t>
            </w:r>
          </w:p>
        </w:tc>
        <w:tc>
          <w:tcPr>
            <w:tcW w:w="2252" w:type="dxa"/>
            <w:tcBorders>
              <w:top w:val="nil"/>
              <w:left w:val="nil"/>
              <w:bottom w:val="nil"/>
              <w:right w:val="nil"/>
            </w:tcBorders>
          </w:tcPr>
          <w:p w14:paraId="49B690FA"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-0.305</w:t>
            </w:r>
          </w:p>
        </w:tc>
        <w:tc>
          <w:tcPr>
            <w:tcW w:w="1968" w:type="dxa"/>
            <w:tcBorders>
              <w:top w:val="nil"/>
              <w:left w:val="nil"/>
              <w:bottom w:val="nil"/>
              <w:right w:val="nil"/>
            </w:tcBorders>
          </w:tcPr>
          <w:p w14:paraId="7BE4A8F9"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0.140</w:t>
            </w:r>
          </w:p>
        </w:tc>
        <w:tc>
          <w:tcPr>
            <w:tcW w:w="2060" w:type="dxa"/>
            <w:tcBorders>
              <w:top w:val="nil"/>
              <w:left w:val="nil"/>
              <w:bottom w:val="nil"/>
              <w:right w:val="nil"/>
            </w:tcBorders>
          </w:tcPr>
          <w:p w14:paraId="0E3356B7"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0.039</w:t>
            </w:r>
          </w:p>
        </w:tc>
      </w:tr>
      <w:tr w:rsidR="002D74F1" w14:paraId="4AF7BFB7" w14:textId="77777777" w:rsidTr="00E4121E">
        <w:trPr>
          <w:jc w:val="center"/>
        </w:trPr>
        <w:tc>
          <w:tcPr>
            <w:tcW w:w="4032" w:type="dxa"/>
            <w:tcBorders>
              <w:top w:val="nil"/>
              <w:left w:val="nil"/>
              <w:bottom w:val="nil"/>
              <w:right w:val="nil"/>
            </w:tcBorders>
          </w:tcPr>
          <w:p w14:paraId="248D0D48" w14:textId="77777777"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p>
        </w:tc>
        <w:tc>
          <w:tcPr>
            <w:tcW w:w="2252" w:type="dxa"/>
            <w:tcBorders>
              <w:top w:val="nil"/>
              <w:left w:val="nil"/>
              <w:bottom w:val="nil"/>
              <w:right w:val="nil"/>
            </w:tcBorders>
          </w:tcPr>
          <w:p w14:paraId="52434385"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(-0.27)</w:t>
            </w:r>
          </w:p>
        </w:tc>
        <w:tc>
          <w:tcPr>
            <w:tcW w:w="1968" w:type="dxa"/>
            <w:tcBorders>
              <w:top w:val="nil"/>
              <w:left w:val="nil"/>
              <w:bottom w:val="nil"/>
              <w:right w:val="nil"/>
            </w:tcBorders>
          </w:tcPr>
          <w:p w14:paraId="79822047"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(1.12)</w:t>
            </w:r>
          </w:p>
        </w:tc>
        <w:tc>
          <w:tcPr>
            <w:tcW w:w="2060" w:type="dxa"/>
            <w:tcBorders>
              <w:top w:val="nil"/>
              <w:left w:val="nil"/>
              <w:bottom w:val="nil"/>
              <w:right w:val="nil"/>
            </w:tcBorders>
          </w:tcPr>
          <w:p w14:paraId="101D3144"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(0.25)</w:t>
            </w:r>
          </w:p>
        </w:tc>
      </w:tr>
      <w:tr w:rsidR="002D74F1" w14:paraId="238B7872" w14:textId="77777777" w:rsidTr="00E4121E">
        <w:trPr>
          <w:jc w:val="center"/>
        </w:trPr>
        <w:tc>
          <w:tcPr>
            <w:tcW w:w="4032" w:type="dxa"/>
            <w:tcBorders>
              <w:top w:val="nil"/>
              <w:left w:val="nil"/>
              <w:bottom w:val="nil"/>
              <w:right w:val="nil"/>
            </w:tcBorders>
          </w:tcPr>
          <w:p w14:paraId="1D82AA4C" w14:textId="77777777"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CASHEQ</w:t>
            </w:r>
          </w:p>
        </w:tc>
        <w:tc>
          <w:tcPr>
            <w:tcW w:w="2252" w:type="dxa"/>
            <w:tcBorders>
              <w:top w:val="nil"/>
              <w:left w:val="nil"/>
              <w:bottom w:val="nil"/>
              <w:right w:val="nil"/>
            </w:tcBorders>
          </w:tcPr>
          <w:p w14:paraId="38CBDEC8"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-1.668</w:t>
            </w:r>
          </w:p>
        </w:tc>
        <w:tc>
          <w:tcPr>
            <w:tcW w:w="1968" w:type="dxa"/>
            <w:tcBorders>
              <w:top w:val="nil"/>
              <w:left w:val="nil"/>
              <w:bottom w:val="nil"/>
              <w:right w:val="nil"/>
            </w:tcBorders>
          </w:tcPr>
          <w:p w14:paraId="002E68D7"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-0.064</w:t>
            </w:r>
          </w:p>
        </w:tc>
        <w:tc>
          <w:tcPr>
            <w:tcW w:w="2060" w:type="dxa"/>
            <w:tcBorders>
              <w:top w:val="nil"/>
              <w:left w:val="nil"/>
              <w:bottom w:val="nil"/>
              <w:right w:val="nil"/>
            </w:tcBorders>
          </w:tcPr>
          <w:p w14:paraId="0F78ACD7"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-0.042</w:t>
            </w:r>
          </w:p>
        </w:tc>
      </w:tr>
      <w:tr w:rsidR="002D74F1" w14:paraId="5B6F78F3" w14:textId="77777777" w:rsidTr="00E4121E">
        <w:trPr>
          <w:jc w:val="center"/>
        </w:trPr>
        <w:tc>
          <w:tcPr>
            <w:tcW w:w="4032" w:type="dxa"/>
            <w:tcBorders>
              <w:top w:val="nil"/>
              <w:left w:val="nil"/>
              <w:bottom w:val="nil"/>
              <w:right w:val="nil"/>
            </w:tcBorders>
          </w:tcPr>
          <w:p w14:paraId="38986212" w14:textId="77777777"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p>
        </w:tc>
        <w:tc>
          <w:tcPr>
            <w:tcW w:w="2252" w:type="dxa"/>
            <w:tcBorders>
              <w:top w:val="nil"/>
              <w:left w:val="nil"/>
              <w:bottom w:val="nil"/>
              <w:right w:val="nil"/>
            </w:tcBorders>
          </w:tcPr>
          <w:p w14:paraId="48F7227B"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(-1.42)</w:t>
            </w:r>
          </w:p>
        </w:tc>
        <w:tc>
          <w:tcPr>
            <w:tcW w:w="1968" w:type="dxa"/>
            <w:tcBorders>
              <w:top w:val="nil"/>
              <w:left w:val="nil"/>
              <w:bottom w:val="nil"/>
              <w:right w:val="nil"/>
            </w:tcBorders>
          </w:tcPr>
          <w:p w14:paraId="4BF2AFA2"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(-0.75)</w:t>
            </w:r>
          </w:p>
        </w:tc>
        <w:tc>
          <w:tcPr>
            <w:tcW w:w="2060" w:type="dxa"/>
            <w:tcBorders>
              <w:top w:val="nil"/>
              <w:left w:val="nil"/>
              <w:bottom w:val="nil"/>
              <w:right w:val="nil"/>
            </w:tcBorders>
          </w:tcPr>
          <w:p w14:paraId="3848C9B8"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(-0.42)</w:t>
            </w:r>
          </w:p>
        </w:tc>
      </w:tr>
      <w:tr w:rsidR="002D74F1" w14:paraId="7DB8F1CF" w14:textId="77777777" w:rsidTr="00E4121E">
        <w:trPr>
          <w:jc w:val="center"/>
        </w:trPr>
        <w:tc>
          <w:tcPr>
            <w:tcW w:w="4032" w:type="dxa"/>
            <w:tcBorders>
              <w:top w:val="nil"/>
              <w:left w:val="nil"/>
              <w:bottom w:val="nil"/>
              <w:right w:val="nil"/>
            </w:tcBorders>
          </w:tcPr>
          <w:p w14:paraId="5E7FEBB3" w14:textId="77777777"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p>
        </w:tc>
        <w:tc>
          <w:tcPr>
            <w:tcW w:w="2252" w:type="dxa"/>
            <w:tcBorders>
              <w:top w:val="nil"/>
              <w:left w:val="nil"/>
              <w:bottom w:val="nil"/>
              <w:right w:val="nil"/>
            </w:tcBorders>
          </w:tcPr>
          <w:p w14:paraId="6C8221AB"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p>
        </w:tc>
        <w:tc>
          <w:tcPr>
            <w:tcW w:w="1968" w:type="dxa"/>
            <w:tcBorders>
              <w:top w:val="nil"/>
              <w:left w:val="nil"/>
              <w:bottom w:val="nil"/>
              <w:right w:val="nil"/>
            </w:tcBorders>
          </w:tcPr>
          <w:p w14:paraId="57528FAF"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p>
        </w:tc>
        <w:tc>
          <w:tcPr>
            <w:tcW w:w="2060" w:type="dxa"/>
            <w:tcBorders>
              <w:top w:val="nil"/>
              <w:left w:val="nil"/>
              <w:bottom w:val="nil"/>
              <w:right w:val="nil"/>
            </w:tcBorders>
          </w:tcPr>
          <w:p w14:paraId="155F2270"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p>
        </w:tc>
      </w:tr>
      <w:tr w:rsidR="002D74F1" w14:paraId="17FFD2A5" w14:textId="77777777" w:rsidTr="00E4121E">
        <w:trPr>
          <w:jc w:val="center"/>
        </w:trPr>
        <w:tc>
          <w:tcPr>
            <w:tcW w:w="4032" w:type="dxa"/>
            <w:tcBorders>
              <w:top w:val="nil"/>
              <w:left w:val="nil"/>
              <w:bottom w:val="nil"/>
              <w:right w:val="nil"/>
            </w:tcBorders>
          </w:tcPr>
          <w:p w14:paraId="3B218B36" w14:textId="77777777"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Observations</w:t>
            </w:r>
          </w:p>
        </w:tc>
        <w:tc>
          <w:tcPr>
            <w:tcW w:w="2252" w:type="dxa"/>
            <w:tcBorders>
              <w:top w:val="nil"/>
              <w:left w:val="nil"/>
              <w:bottom w:val="nil"/>
              <w:right w:val="nil"/>
            </w:tcBorders>
          </w:tcPr>
          <w:p w14:paraId="10E65795"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528</w:t>
            </w:r>
          </w:p>
        </w:tc>
        <w:tc>
          <w:tcPr>
            <w:tcW w:w="1968" w:type="dxa"/>
            <w:tcBorders>
              <w:top w:val="nil"/>
              <w:left w:val="nil"/>
              <w:bottom w:val="nil"/>
              <w:right w:val="nil"/>
            </w:tcBorders>
          </w:tcPr>
          <w:p w14:paraId="6FBAB51C"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528</w:t>
            </w:r>
          </w:p>
        </w:tc>
        <w:tc>
          <w:tcPr>
            <w:tcW w:w="2060" w:type="dxa"/>
            <w:tcBorders>
              <w:top w:val="nil"/>
              <w:left w:val="nil"/>
              <w:bottom w:val="nil"/>
              <w:right w:val="nil"/>
            </w:tcBorders>
          </w:tcPr>
          <w:p w14:paraId="68C2E609"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520</w:t>
            </w:r>
          </w:p>
        </w:tc>
      </w:tr>
      <w:tr w:rsidR="002D74F1" w14:paraId="717933C6" w14:textId="77777777" w:rsidTr="00E4121E">
        <w:trPr>
          <w:jc w:val="center"/>
        </w:trPr>
        <w:tc>
          <w:tcPr>
            <w:tcW w:w="4032" w:type="dxa"/>
            <w:tcBorders>
              <w:top w:val="nil"/>
              <w:left w:val="nil"/>
              <w:bottom w:val="nil"/>
              <w:right w:val="nil"/>
            </w:tcBorders>
          </w:tcPr>
          <w:p w14:paraId="4C40C295" w14:textId="77777777"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Firm FE</w:t>
            </w:r>
          </w:p>
        </w:tc>
        <w:tc>
          <w:tcPr>
            <w:tcW w:w="2252" w:type="dxa"/>
            <w:tcBorders>
              <w:top w:val="nil"/>
              <w:left w:val="nil"/>
              <w:bottom w:val="nil"/>
              <w:right w:val="nil"/>
            </w:tcBorders>
          </w:tcPr>
          <w:p w14:paraId="6B75A245"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Included</w:t>
            </w:r>
          </w:p>
        </w:tc>
        <w:tc>
          <w:tcPr>
            <w:tcW w:w="1968" w:type="dxa"/>
            <w:tcBorders>
              <w:top w:val="nil"/>
              <w:left w:val="nil"/>
              <w:bottom w:val="nil"/>
              <w:right w:val="nil"/>
            </w:tcBorders>
          </w:tcPr>
          <w:p w14:paraId="1ADF3099"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Included</w:t>
            </w:r>
          </w:p>
        </w:tc>
        <w:tc>
          <w:tcPr>
            <w:tcW w:w="2060" w:type="dxa"/>
            <w:tcBorders>
              <w:top w:val="nil"/>
              <w:left w:val="nil"/>
              <w:bottom w:val="nil"/>
              <w:right w:val="nil"/>
            </w:tcBorders>
          </w:tcPr>
          <w:p w14:paraId="7F58170C"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Included</w:t>
            </w:r>
          </w:p>
        </w:tc>
      </w:tr>
      <w:tr w:rsidR="002D74F1" w14:paraId="0123ADC1" w14:textId="77777777" w:rsidTr="00E4121E">
        <w:trPr>
          <w:jc w:val="center"/>
        </w:trPr>
        <w:tc>
          <w:tcPr>
            <w:tcW w:w="4032" w:type="dxa"/>
            <w:tcBorders>
              <w:top w:val="nil"/>
              <w:left w:val="nil"/>
              <w:bottom w:val="nil"/>
              <w:right w:val="nil"/>
            </w:tcBorders>
          </w:tcPr>
          <w:p w14:paraId="51C41C0E" w14:textId="77777777"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Year FE</w:t>
            </w:r>
          </w:p>
        </w:tc>
        <w:tc>
          <w:tcPr>
            <w:tcW w:w="2252" w:type="dxa"/>
            <w:tcBorders>
              <w:top w:val="nil"/>
              <w:left w:val="nil"/>
              <w:bottom w:val="nil"/>
              <w:right w:val="nil"/>
            </w:tcBorders>
          </w:tcPr>
          <w:p w14:paraId="6B7518EE"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Included</w:t>
            </w:r>
          </w:p>
        </w:tc>
        <w:tc>
          <w:tcPr>
            <w:tcW w:w="1968" w:type="dxa"/>
            <w:tcBorders>
              <w:top w:val="nil"/>
              <w:left w:val="nil"/>
              <w:bottom w:val="nil"/>
              <w:right w:val="nil"/>
            </w:tcBorders>
          </w:tcPr>
          <w:p w14:paraId="064A461F"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Included</w:t>
            </w:r>
          </w:p>
        </w:tc>
        <w:tc>
          <w:tcPr>
            <w:tcW w:w="2060" w:type="dxa"/>
            <w:tcBorders>
              <w:top w:val="nil"/>
              <w:left w:val="nil"/>
              <w:bottom w:val="nil"/>
              <w:right w:val="nil"/>
            </w:tcBorders>
          </w:tcPr>
          <w:p w14:paraId="6A70B6DA"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Included</w:t>
            </w:r>
          </w:p>
        </w:tc>
      </w:tr>
      <w:tr w:rsidR="002D74F1" w14:paraId="0967293C" w14:textId="77777777" w:rsidTr="00E4121E">
        <w:tblPrEx>
          <w:tblBorders>
            <w:bottom w:val="single" w:sz="6" w:space="0" w:color="auto"/>
          </w:tblBorders>
        </w:tblPrEx>
        <w:trPr>
          <w:jc w:val="center"/>
        </w:trPr>
        <w:tc>
          <w:tcPr>
            <w:tcW w:w="4032" w:type="dxa"/>
            <w:tcBorders>
              <w:top w:val="nil"/>
              <w:left w:val="nil"/>
              <w:bottom w:val="single" w:sz="6" w:space="0" w:color="auto"/>
              <w:right w:val="nil"/>
            </w:tcBorders>
          </w:tcPr>
          <w:p w14:paraId="50CD6F72" w14:textId="77777777" w:rsidR="002D74F1" w:rsidRDefault="002D74F1" w:rsidP="00BF361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Adj. R-squared</w:t>
            </w:r>
          </w:p>
        </w:tc>
        <w:tc>
          <w:tcPr>
            <w:tcW w:w="2252" w:type="dxa"/>
            <w:tcBorders>
              <w:top w:val="nil"/>
              <w:left w:val="nil"/>
              <w:bottom w:val="single" w:sz="6" w:space="0" w:color="auto"/>
              <w:right w:val="nil"/>
            </w:tcBorders>
          </w:tcPr>
          <w:p w14:paraId="74395A4E"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0.108</w:t>
            </w:r>
          </w:p>
        </w:tc>
        <w:tc>
          <w:tcPr>
            <w:tcW w:w="1968" w:type="dxa"/>
            <w:tcBorders>
              <w:top w:val="nil"/>
              <w:left w:val="nil"/>
              <w:bottom w:val="single" w:sz="6" w:space="0" w:color="auto"/>
              <w:right w:val="nil"/>
            </w:tcBorders>
          </w:tcPr>
          <w:p w14:paraId="574A4B3C"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0.204</w:t>
            </w:r>
          </w:p>
        </w:tc>
        <w:tc>
          <w:tcPr>
            <w:tcW w:w="2060" w:type="dxa"/>
            <w:tcBorders>
              <w:top w:val="nil"/>
              <w:left w:val="nil"/>
              <w:bottom w:val="single" w:sz="6" w:space="0" w:color="auto"/>
              <w:right w:val="nil"/>
            </w:tcBorders>
          </w:tcPr>
          <w:p w14:paraId="58352206" w14:textId="77777777" w:rsidR="002D74F1" w:rsidRDefault="002D74F1" w:rsidP="00BF361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0.269</w:t>
            </w:r>
          </w:p>
        </w:tc>
      </w:tr>
    </w:tbl>
    <w:p w14:paraId="7F5D8A45" w14:textId="5D273EDC" w:rsidR="002D74F1" w:rsidRDefault="002D74F1" w:rsidP="00FC5007">
      <w:pPr>
        <w:pBdr>
          <w:bottom w:val="single" w:sz="12" w:space="1" w:color="auto"/>
        </w:pBdr>
        <w:contextualSpacing/>
        <w:rPr>
          <w:rFonts w:ascii="Times New Roman" w:hAnsi="Times New Roman" w:cs="Times New Roman"/>
          <w:b/>
          <w:sz w:val="24"/>
          <w:szCs w:val="24"/>
        </w:rPr>
      </w:pPr>
    </w:p>
    <w:p w14:paraId="55A5893C" w14:textId="77777777" w:rsidR="002D74F1" w:rsidRDefault="002D74F1" w:rsidP="00FC5007">
      <w:pPr>
        <w:contextualSpacing/>
        <w:rPr>
          <w:rFonts w:ascii="Times New Roman" w:hAnsi="Times New Roman" w:cs="Times New Roman"/>
          <w:b/>
          <w:sz w:val="24"/>
          <w:szCs w:val="24"/>
        </w:rPr>
      </w:pPr>
    </w:p>
    <w:p w14:paraId="76160216" w14:textId="77777777" w:rsidR="002D74F1" w:rsidRDefault="002D74F1" w:rsidP="00FC5007">
      <w:pPr>
        <w:contextualSpacing/>
        <w:rPr>
          <w:rFonts w:ascii="Times New Roman" w:hAnsi="Times New Roman" w:cs="Times New Roman"/>
          <w:b/>
          <w:sz w:val="24"/>
          <w:szCs w:val="24"/>
        </w:rPr>
      </w:pPr>
    </w:p>
    <w:p w14:paraId="4E3D929A" w14:textId="40C7AA07" w:rsidR="002D74F1" w:rsidRDefault="002D74F1" w:rsidP="002D74F1">
      <w:pPr>
        <w:contextualSpacing/>
        <w:jc w:val="center"/>
        <w:rPr>
          <w:rFonts w:ascii="Times New Roman" w:hAnsi="Times New Roman" w:cs="Times New Roman"/>
          <w:b/>
          <w:sz w:val="24"/>
          <w:szCs w:val="24"/>
        </w:rPr>
      </w:pPr>
      <w:r>
        <w:rPr>
          <w:rFonts w:ascii="Times New Roman" w:hAnsi="Times New Roman" w:cs="Times New Roman"/>
          <w:b/>
          <w:sz w:val="24"/>
          <w:szCs w:val="24"/>
        </w:rPr>
        <w:t>Table 1</w:t>
      </w:r>
      <w:r w:rsidR="005B0A84">
        <w:rPr>
          <w:rFonts w:ascii="Times New Roman" w:hAnsi="Times New Roman" w:cs="Times New Roman"/>
          <w:b/>
          <w:sz w:val="24"/>
          <w:szCs w:val="24"/>
        </w:rPr>
        <w:t>3</w:t>
      </w:r>
    </w:p>
    <w:p w14:paraId="2B2E057F" w14:textId="77777777" w:rsidR="002D74F1" w:rsidRDefault="002D74F1" w:rsidP="002D74F1">
      <w:pPr>
        <w:pBdr>
          <w:bottom w:val="single" w:sz="12" w:space="1" w:color="auto"/>
        </w:pBdr>
        <w:contextualSpacing/>
        <w:jc w:val="center"/>
        <w:rPr>
          <w:rFonts w:ascii="Times New Roman" w:hAnsi="Times New Roman" w:cs="Times New Roman"/>
          <w:b/>
          <w:sz w:val="24"/>
          <w:szCs w:val="24"/>
          <w:vertAlign w:val="superscript"/>
        </w:rPr>
      </w:pPr>
      <w:r>
        <w:rPr>
          <w:rFonts w:ascii="Times New Roman" w:hAnsi="Times New Roman" w:cs="Times New Roman"/>
          <w:b/>
          <w:sz w:val="24"/>
          <w:szCs w:val="24"/>
        </w:rPr>
        <w:t>Investment Efficiency</w:t>
      </w:r>
      <w:r>
        <w:rPr>
          <w:rFonts w:ascii="Times New Roman" w:hAnsi="Times New Roman" w:cs="Times New Roman"/>
          <w:b/>
          <w:sz w:val="24"/>
          <w:szCs w:val="24"/>
          <w:vertAlign w:val="superscript"/>
        </w:rPr>
        <w:t>a</w:t>
      </w:r>
    </w:p>
    <w:p w14:paraId="19F1FB75" w14:textId="4016998B" w:rsidR="0030754E" w:rsidRDefault="002D74F1" w:rsidP="00FC5007">
      <w:pPr>
        <w:tabs>
          <w:tab w:val="left" w:pos="720"/>
        </w:tabs>
        <w:spacing w:after="0" w:line="240" w:lineRule="auto"/>
        <w:rPr>
          <w:rFonts w:ascii="Times New Roman" w:hAnsi="Times New Roman" w:cs="Times New Roman"/>
          <w:sz w:val="24"/>
          <w:szCs w:val="24"/>
        </w:rPr>
      </w:pPr>
      <w:r w:rsidRPr="001A5196">
        <w:rPr>
          <w:rFonts w:ascii="Times New Roman" w:hAnsi="Times New Roman" w:cs="Times New Roman"/>
          <w:sz w:val="24"/>
          <w:szCs w:val="24"/>
          <w:vertAlign w:val="superscript"/>
        </w:rPr>
        <w:t>a</w:t>
      </w:r>
      <w:r w:rsidRPr="001A5196">
        <w:rPr>
          <w:rFonts w:ascii="Times New Roman" w:hAnsi="Times New Roman" w:cs="Times New Roman"/>
          <w:sz w:val="24"/>
          <w:szCs w:val="24"/>
        </w:rPr>
        <w:t>This table reports</w:t>
      </w:r>
      <w:r>
        <w:rPr>
          <w:rFonts w:ascii="Times New Roman" w:hAnsi="Times New Roman" w:cs="Times New Roman"/>
          <w:b/>
          <w:sz w:val="24"/>
          <w:szCs w:val="24"/>
        </w:rPr>
        <w:t xml:space="preserve"> </w:t>
      </w:r>
      <w:r>
        <w:rPr>
          <w:rFonts w:ascii="Times New Roman" w:hAnsi="Times New Roman"/>
          <w:sz w:val="24"/>
          <w:szCs w:val="24"/>
        </w:rPr>
        <w:t>the coefficient</w:t>
      </w:r>
      <w:r w:rsidRPr="0080751D">
        <w:rPr>
          <w:rFonts w:ascii="Times New Roman" w:hAnsi="Times New Roman"/>
          <w:sz w:val="24"/>
          <w:szCs w:val="24"/>
        </w:rPr>
        <w:t xml:space="preserve"> estimates</w:t>
      </w:r>
      <w:r>
        <w:rPr>
          <w:rFonts w:ascii="Times New Roman" w:hAnsi="Times New Roman"/>
          <w:sz w:val="24"/>
          <w:szCs w:val="24"/>
        </w:rPr>
        <w:t xml:space="preserve"> and t-statistics</w:t>
      </w:r>
      <w:r w:rsidRPr="0080751D">
        <w:rPr>
          <w:rFonts w:ascii="Times New Roman" w:hAnsi="Times New Roman"/>
          <w:sz w:val="24"/>
          <w:szCs w:val="24"/>
        </w:rPr>
        <w:t xml:space="preserve"> from the follo</w:t>
      </w:r>
      <w:r>
        <w:rPr>
          <w:rFonts w:ascii="Times New Roman" w:hAnsi="Times New Roman"/>
          <w:sz w:val="24"/>
          <w:szCs w:val="24"/>
        </w:rPr>
        <w:t xml:space="preserve">wing regression: </w:t>
      </w:r>
      <w:r w:rsidRPr="00C11785">
        <w:rPr>
          <w:rFonts w:ascii="Times New Roman" w:hAnsi="Times New Roman" w:cs="Times New Roman"/>
          <w:sz w:val="24"/>
          <w:szCs w:val="24"/>
        </w:rPr>
        <w:t>R&amp;D</w:t>
      </w:r>
      <w:r>
        <w:rPr>
          <w:rFonts w:ascii="Times New Roman" w:hAnsi="Times New Roman" w:cs="Times New Roman"/>
          <w:sz w:val="24"/>
          <w:szCs w:val="24"/>
        </w:rPr>
        <w:t xml:space="preserve"> Growth = </w:t>
      </w:r>
      <w:r w:rsidR="00F327C9">
        <w:rPr>
          <w:rFonts w:ascii="Symbol" w:hAnsi="Symbol" w:cs="Times New Roman"/>
          <w:sz w:val="24"/>
          <w:szCs w:val="24"/>
        </w:rPr>
        <w:t></w:t>
      </w:r>
      <w:r w:rsidRPr="00DF2E72">
        <w:rPr>
          <w:rFonts w:ascii="Times New Roman" w:hAnsi="Times New Roman" w:cs="Times New Roman"/>
          <w:sz w:val="24"/>
          <w:szCs w:val="24"/>
          <w:vertAlign w:val="subscript"/>
        </w:rPr>
        <w:t xml:space="preserve">0 </w:t>
      </w:r>
      <w:r>
        <w:rPr>
          <w:rFonts w:ascii="Times New Roman" w:hAnsi="Times New Roman" w:cs="Times New Roman"/>
          <w:sz w:val="24"/>
          <w:szCs w:val="24"/>
        </w:rPr>
        <w:t>+ ∑</w:t>
      </w:r>
      <w:r w:rsidRPr="0012154E">
        <w:rPr>
          <w:rFonts w:ascii="Times New Roman" w:hAnsi="Times New Roman" w:cs="Times New Roman"/>
          <w:sz w:val="24"/>
          <w:szCs w:val="24"/>
          <w:vertAlign w:val="subscript"/>
        </w:rPr>
        <w:t xml:space="preserve">t </w:t>
      </w:r>
      <w:r>
        <w:rPr>
          <w:rFonts w:ascii="Symbol" w:hAnsi="Symbol" w:cs="Times New Roman"/>
          <w:sz w:val="24"/>
          <w:szCs w:val="24"/>
        </w:rPr>
        <w:t></w:t>
      </w:r>
      <w:r w:rsidRPr="0012154E">
        <w:rPr>
          <w:rFonts w:ascii="Times New Roman" w:hAnsi="Times New Roman" w:cs="Times New Roman"/>
          <w:sz w:val="24"/>
          <w:szCs w:val="24"/>
          <w:vertAlign w:val="subscript"/>
        </w:rPr>
        <w:t>t</w:t>
      </w:r>
      <w:r>
        <w:rPr>
          <w:rFonts w:ascii="Times New Roman" w:hAnsi="Times New Roman" w:cs="Times New Roman"/>
          <w:sz w:val="24"/>
          <w:szCs w:val="24"/>
        </w:rPr>
        <w:t>SWITCH*IFRS</w:t>
      </w:r>
      <w:r w:rsidRPr="0012154E">
        <w:rPr>
          <w:rFonts w:ascii="Times New Roman" w:hAnsi="Times New Roman" w:cs="Times New Roman"/>
          <w:sz w:val="24"/>
          <w:szCs w:val="24"/>
          <w:vertAlign w:val="subscript"/>
        </w:rPr>
        <w:t xml:space="preserve">t </w:t>
      </w:r>
      <w:r>
        <w:rPr>
          <w:rFonts w:ascii="Times New Roman" w:hAnsi="Times New Roman" w:cs="Times New Roman"/>
          <w:sz w:val="24"/>
          <w:szCs w:val="24"/>
        </w:rPr>
        <w:t xml:space="preserve">+ </w:t>
      </w:r>
      <w:r>
        <w:rPr>
          <w:rFonts w:ascii="Symbol" w:hAnsi="Symbol" w:cs="Times New Roman"/>
          <w:sz w:val="24"/>
          <w:szCs w:val="24"/>
        </w:rPr>
        <w:t></w:t>
      </w:r>
      <w:r w:rsidR="00F327C9">
        <w:rPr>
          <w:rFonts w:ascii="Times New Roman" w:hAnsi="Times New Roman" w:cs="Times New Roman"/>
          <w:sz w:val="24"/>
          <w:szCs w:val="24"/>
          <w:vertAlign w:val="subscript"/>
        </w:rPr>
        <w:t>4</w:t>
      </w:r>
      <w:r>
        <w:rPr>
          <w:rFonts w:ascii="Times New Roman" w:hAnsi="Times New Roman" w:cs="Times New Roman"/>
          <w:sz w:val="24"/>
          <w:szCs w:val="24"/>
        </w:rPr>
        <w:t>SWITCH*POST*S</w:t>
      </w:r>
      <w:r w:rsidR="0030754E">
        <w:rPr>
          <w:rFonts w:ascii="Times New Roman" w:hAnsi="Times New Roman" w:cs="Times New Roman"/>
          <w:sz w:val="24"/>
          <w:szCs w:val="24"/>
        </w:rPr>
        <w:t>ALES_</w:t>
      </w:r>
      <w:r>
        <w:rPr>
          <w:rFonts w:ascii="Times New Roman" w:hAnsi="Times New Roman" w:cs="Times New Roman"/>
          <w:sz w:val="24"/>
          <w:szCs w:val="24"/>
        </w:rPr>
        <w:t>G</w:t>
      </w:r>
      <w:r w:rsidR="0030754E">
        <w:rPr>
          <w:rFonts w:ascii="Times New Roman" w:hAnsi="Times New Roman" w:cs="Times New Roman"/>
          <w:sz w:val="24"/>
          <w:szCs w:val="24"/>
        </w:rPr>
        <w:t>ROWTH</w:t>
      </w:r>
      <w:r>
        <w:rPr>
          <w:rFonts w:ascii="Times New Roman" w:hAnsi="Times New Roman" w:cs="Times New Roman"/>
          <w:sz w:val="24"/>
          <w:szCs w:val="24"/>
          <w:vertAlign w:val="subscript"/>
        </w:rPr>
        <w:t>t</w:t>
      </w:r>
      <w:r>
        <w:rPr>
          <w:rFonts w:ascii="Times New Roman" w:hAnsi="Times New Roman" w:cs="Times New Roman"/>
          <w:sz w:val="24"/>
          <w:szCs w:val="24"/>
        </w:rPr>
        <w:t xml:space="preserve"> </w:t>
      </w:r>
    </w:p>
    <w:p w14:paraId="52276D52" w14:textId="0D497D39" w:rsidR="002D74F1" w:rsidRDefault="002D74F1" w:rsidP="00FC5007">
      <w:pPr>
        <w:tabs>
          <w:tab w:val="left" w:pos="720"/>
        </w:tabs>
        <w:spacing w:after="0" w:line="240" w:lineRule="auto"/>
        <w:rPr>
          <w:rFonts w:ascii="Times New Roman" w:hAnsi="Times New Roman"/>
          <w:sz w:val="24"/>
          <w:szCs w:val="24"/>
        </w:rPr>
      </w:pPr>
      <w:r>
        <w:rPr>
          <w:rFonts w:ascii="Times New Roman" w:hAnsi="Times New Roman" w:cs="Times New Roman"/>
          <w:sz w:val="24"/>
          <w:szCs w:val="24"/>
        </w:rPr>
        <w:t xml:space="preserve">+ </w:t>
      </w:r>
      <w:r>
        <w:rPr>
          <w:rFonts w:ascii="Symbol" w:hAnsi="Symbol" w:cs="Times New Roman"/>
          <w:sz w:val="24"/>
          <w:szCs w:val="24"/>
        </w:rPr>
        <w:t></w:t>
      </w:r>
      <w:r w:rsidR="00F327C9">
        <w:rPr>
          <w:rFonts w:ascii="Times New Roman" w:hAnsi="Times New Roman" w:cs="Times New Roman"/>
          <w:sz w:val="24"/>
          <w:szCs w:val="24"/>
          <w:vertAlign w:val="subscript"/>
        </w:rPr>
        <w:t>5</w:t>
      </w:r>
      <w:r>
        <w:rPr>
          <w:rFonts w:ascii="Times New Roman" w:hAnsi="Times New Roman" w:cs="Times New Roman"/>
          <w:sz w:val="24"/>
          <w:szCs w:val="24"/>
        </w:rPr>
        <w:t>POST*S</w:t>
      </w:r>
      <w:r w:rsidR="0030754E">
        <w:rPr>
          <w:rFonts w:ascii="Times New Roman" w:hAnsi="Times New Roman" w:cs="Times New Roman"/>
          <w:sz w:val="24"/>
          <w:szCs w:val="24"/>
        </w:rPr>
        <w:t>ALES_</w:t>
      </w:r>
      <w:r>
        <w:rPr>
          <w:rFonts w:ascii="Times New Roman" w:hAnsi="Times New Roman" w:cs="Times New Roman"/>
          <w:sz w:val="24"/>
          <w:szCs w:val="24"/>
        </w:rPr>
        <w:t>G</w:t>
      </w:r>
      <w:r w:rsidR="0030754E">
        <w:rPr>
          <w:rFonts w:ascii="Times New Roman" w:hAnsi="Times New Roman" w:cs="Times New Roman"/>
          <w:sz w:val="24"/>
          <w:szCs w:val="24"/>
        </w:rPr>
        <w:t>ROWTH</w:t>
      </w:r>
      <w:r>
        <w:rPr>
          <w:rFonts w:ascii="Times New Roman" w:hAnsi="Times New Roman" w:cs="Times New Roman"/>
          <w:sz w:val="24"/>
          <w:szCs w:val="24"/>
          <w:vertAlign w:val="subscript"/>
        </w:rPr>
        <w:t>t</w:t>
      </w:r>
      <w:r>
        <w:rPr>
          <w:rFonts w:ascii="Times New Roman" w:hAnsi="Times New Roman" w:cs="Times New Roman"/>
          <w:sz w:val="24"/>
          <w:szCs w:val="24"/>
        </w:rPr>
        <w:t xml:space="preserve"> + </w:t>
      </w:r>
      <w:r>
        <w:rPr>
          <w:rFonts w:ascii="Symbol" w:hAnsi="Symbol" w:cs="Times New Roman"/>
          <w:sz w:val="24"/>
          <w:szCs w:val="24"/>
        </w:rPr>
        <w:t></w:t>
      </w:r>
      <w:r w:rsidR="00F327C9">
        <w:rPr>
          <w:rFonts w:ascii="Times New Roman" w:hAnsi="Times New Roman" w:cs="Times New Roman"/>
          <w:sz w:val="24"/>
          <w:szCs w:val="24"/>
          <w:vertAlign w:val="subscript"/>
        </w:rPr>
        <w:t>6</w:t>
      </w:r>
      <w:r>
        <w:rPr>
          <w:rFonts w:ascii="Times New Roman" w:hAnsi="Times New Roman" w:cs="Times New Roman"/>
          <w:sz w:val="24"/>
          <w:szCs w:val="24"/>
        </w:rPr>
        <w:t>SWITCH*S</w:t>
      </w:r>
      <w:r w:rsidR="0030754E">
        <w:rPr>
          <w:rFonts w:ascii="Times New Roman" w:hAnsi="Times New Roman" w:cs="Times New Roman"/>
          <w:sz w:val="24"/>
          <w:szCs w:val="24"/>
        </w:rPr>
        <w:t>ALES_</w:t>
      </w:r>
      <w:r>
        <w:rPr>
          <w:rFonts w:ascii="Times New Roman" w:hAnsi="Times New Roman" w:cs="Times New Roman"/>
          <w:sz w:val="24"/>
          <w:szCs w:val="24"/>
        </w:rPr>
        <w:t>G</w:t>
      </w:r>
      <w:r w:rsidR="0030754E">
        <w:rPr>
          <w:rFonts w:ascii="Times New Roman" w:hAnsi="Times New Roman" w:cs="Times New Roman"/>
          <w:sz w:val="24"/>
          <w:szCs w:val="24"/>
        </w:rPr>
        <w:t>ROWTH</w:t>
      </w:r>
      <w:r>
        <w:rPr>
          <w:rFonts w:ascii="Times New Roman" w:hAnsi="Times New Roman" w:cs="Times New Roman"/>
          <w:sz w:val="24"/>
          <w:szCs w:val="24"/>
          <w:vertAlign w:val="subscript"/>
        </w:rPr>
        <w:t xml:space="preserve">t </w:t>
      </w:r>
      <w:r w:rsidR="00C56725">
        <w:rPr>
          <w:rFonts w:ascii="Times New Roman" w:hAnsi="Times New Roman" w:cs="Times New Roman"/>
          <w:sz w:val="24"/>
          <w:szCs w:val="24"/>
        </w:rPr>
        <w:t>+ ∑</w:t>
      </w:r>
      <w:r w:rsidR="00C56725" w:rsidRPr="0012154E">
        <w:rPr>
          <w:rFonts w:ascii="Times New Roman" w:hAnsi="Times New Roman" w:cs="Times New Roman"/>
          <w:sz w:val="24"/>
          <w:szCs w:val="24"/>
          <w:vertAlign w:val="subscript"/>
        </w:rPr>
        <w:t>i</w:t>
      </w:r>
      <w:r w:rsidR="00C56725">
        <w:rPr>
          <w:rFonts w:ascii="Symbol" w:hAnsi="Symbol" w:cs="Times New Roman"/>
          <w:sz w:val="24"/>
          <w:szCs w:val="24"/>
        </w:rPr>
        <w:sym w:font="Symbol" w:char="F046"/>
      </w:r>
      <w:r w:rsidR="00C56725">
        <w:rPr>
          <w:rFonts w:ascii="Times New Roman" w:hAnsi="Times New Roman" w:cs="Times New Roman"/>
          <w:sz w:val="24"/>
          <w:szCs w:val="24"/>
          <w:vertAlign w:val="subscript"/>
        </w:rPr>
        <w:t>i</w:t>
      </w:r>
      <w:r w:rsidR="00C56725">
        <w:rPr>
          <w:rFonts w:ascii="Times New Roman" w:hAnsi="Times New Roman" w:cs="Times New Roman"/>
          <w:sz w:val="24"/>
          <w:szCs w:val="24"/>
        </w:rPr>
        <w:t>Control</w:t>
      </w:r>
      <w:r w:rsidR="00C56725" w:rsidRPr="0012154E">
        <w:rPr>
          <w:rFonts w:ascii="Times New Roman" w:hAnsi="Times New Roman" w:cs="Times New Roman"/>
          <w:sz w:val="24"/>
          <w:szCs w:val="24"/>
          <w:vertAlign w:val="subscript"/>
        </w:rPr>
        <w:t>i</w:t>
      </w:r>
      <w:r w:rsidR="00C56725">
        <w:rPr>
          <w:rFonts w:ascii="Times New Roman" w:hAnsi="Times New Roman" w:cs="Times New Roman"/>
          <w:sz w:val="24"/>
          <w:szCs w:val="24"/>
        </w:rPr>
        <w:t xml:space="preserve"> </w:t>
      </w:r>
      <w:r>
        <w:rPr>
          <w:rFonts w:ascii="Times New Roman" w:hAnsi="Times New Roman" w:cs="Times New Roman"/>
          <w:sz w:val="24"/>
          <w:szCs w:val="24"/>
        </w:rPr>
        <w:t xml:space="preserve">+ firm fixed effects + year fixed effects + </w:t>
      </w:r>
      <w:r w:rsidRPr="001A5196">
        <w:rPr>
          <w:rFonts w:ascii="Symbol" w:hAnsi="Symbol" w:cs="Times New Roman"/>
          <w:sz w:val="24"/>
          <w:szCs w:val="24"/>
        </w:rPr>
        <w:t></w:t>
      </w:r>
      <w:r>
        <w:rPr>
          <w:rFonts w:ascii="Times New Roman" w:hAnsi="Times New Roman" w:cs="Times New Roman"/>
          <w:sz w:val="24"/>
          <w:szCs w:val="24"/>
        </w:rPr>
        <w:t xml:space="preserve">       </w:t>
      </w:r>
    </w:p>
    <w:p w14:paraId="455AFA35" w14:textId="3571A94D" w:rsidR="002D74F1" w:rsidRDefault="002D74F1" w:rsidP="00FC5007">
      <w:pPr>
        <w:contextualSpacing/>
        <w:rPr>
          <w:rFonts w:ascii="Times New Roman" w:hAnsi="Times New Roman" w:cs="Times New Roman"/>
          <w:b/>
          <w:sz w:val="24"/>
          <w:szCs w:val="24"/>
        </w:rPr>
      </w:pPr>
    </w:p>
    <w:p w14:paraId="3F1BC0AB" w14:textId="5BD40591" w:rsidR="00C56725" w:rsidRPr="00506C8A" w:rsidRDefault="00C56725" w:rsidP="000F3253">
      <w:pPr>
        <w:jc w:val="both"/>
        <w:rPr>
          <w:rFonts w:ascii="Times New Roman" w:hAnsi="Times New Roman" w:cs="Times New Roman"/>
          <w:sz w:val="24"/>
          <w:szCs w:val="24"/>
        </w:rPr>
      </w:pPr>
      <w:r>
        <w:rPr>
          <w:rFonts w:ascii="Times New Roman" w:hAnsi="Times New Roman"/>
          <w:sz w:val="24"/>
          <w:szCs w:val="24"/>
        </w:rPr>
        <w:t>The dependent variable (R&amp;D Growth) is measured as follows: RD_Gwth</w:t>
      </w:r>
      <w:r w:rsidRPr="00FD3A6E">
        <w:rPr>
          <w:rFonts w:ascii="Times New Roman" w:hAnsi="Times New Roman"/>
          <w:sz w:val="24"/>
          <w:szCs w:val="24"/>
        </w:rPr>
        <w:t xml:space="preserve"> </w:t>
      </w:r>
      <w:r>
        <w:rPr>
          <w:rFonts w:ascii="Times New Roman" w:hAnsi="Times New Roman"/>
          <w:sz w:val="24"/>
          <w:szCs w:val="24"/>
        </w:rPr>
        <w:t>is the change in R&amp;D expenditures divided by lagged R&amp;D expenditures;</w:t>
      </w:r>
      <w:r w:rsidRPr="00FD3A6E">
        <w:rPr>
          <w:rFonts w:ascii="Times New Roman" w:hAnsi="Times New Roman"/>
          <w:sz w:val="24"/>
          <w:szCs w:val="24"/>
        </w:rPr>
        <w:t xml:space="preserve"> </w:t>
      </w:r>
      <w:r>
        <w:rPr>
          <w:rFonts w:ascii="Times New Roman" w:hAnsi="Times New Roman"/>
          <w:sz w:val="24"/>
          <w:szCs w:val="24"/>
        </w:rPr>
        <w:t xml:space="preserve">RD_TA is the change in R&amp;D expenditures scaled by lagged total assets; RD_Sales is the change in R&amp;D expenditures divided by lagged sales. </w:t>
      </w:r>
      <w:r w:rsidR="00AA5F43">
        <w:rPr>
          <w:rFonts w:ascii="Times New Roman" w:hAnsi="Times New Roman"/>
          <w:sz w:val="24"/>
          <w:szCs w:val="24"/>
        </w:rPr>
        <w:t xml:space="preserve">SWITCH is an indicator variable that equals 1 for switchers (firms that switched from </w:t>
      </w:r>
      <w:r w:rsidR="00AA5F43">
        <w:rPr>
          <w:rFonts w:ascii="Times New Roman" w:hAnsi="Times New Roman" w:cs="Times New Roman"/>
          <w:sz w:val="24"/>
          <w:szCs w:val="24"/>
        </w:rPr>
        <w:t>expensing R&amp;D under UK GAAP to capitalizing R&amp;D under IFRS</w:t>
      </w:r>
      <w:r w:rsidR="00AA5F43">
        <w:rPr>
          <w:rFonts w:ascii="Times New Roman" w:hAnsi="Times New Roman"/>
          <w:sz w:val="24"/>
          <w:szCs w:val="24"/>
        </w:rPr>
        <w:t>), and 0 for capitalizers (firms that always capitalized under UK GAAP and IFRS</w:t>
      </w:r>
      <w:r w:rsidR="00AA5F43" w:rsidRPr="005137F2">
        <w:rPr>
          <w:rFonts w:ascii="Times New Roman" w:hAnsi="Times New Roman" w:cs="Times New Roman"/>
          <w:sz w:val="24"/>
          <w:szCs w:val="24"/>
        </w:rPr>
        <w:t>).</w:t>
      </w:r>
      <w:r>
        <w:rPr>
          <w:rFonts w:ascii="Times New Roman" w:hAnsi="Times New Roman"/>
          <w:sz w:val="24"/>
          <w:szCs w:val="24"/>
        </w:rPr>
        <w:t xml:space="preserve"> </w:t>
      </w:r>
      <w:r w:rsidRPr="00506C8A">
        <w:rPr>
          <w:rFonts w:ascii="Times New Roman" w:hAnsi="Times New Roman" w:cs="Times New Roman"/>
          <w:sz w:val="24"/>
          <w:szCs w:val="24"/>
        </w:rPr>
        <w:t>IFRS</w:t>
      </w:r>
      <w:r w:rsidRPr="00506C8A">
        <w:rPr>
          <w:rFonts w:ascii="Times New Roman" w:hAnsi="Times New Roman" w:cs="Times New Roman"/>
          <w:sz w:val="24"/>
          <w:szCs w:val="24"/>
          <w:vertAlign w:val="subscript"/>
        </w:rPr>
        <w:t>t</w:t>
      </w:r>
      <w:r w:rsidRPr="00506C8A">
        <w:rPr>
          <w:rFonts w:ascii="Times New Roman" w:hAnsi="Times New Roman" w:cs="Times New Roman"/>
          <w:sz w:val="24"/>
          <w:szCs w:val="24"/>
        </w:rPr>
        <w:t xml:space="preserve"> are a sequence of indicator variables that equals 1 in the year t relative to IFRS period (2005 and beyond) and 0 otherwise, where t runs from </w:t>
      </w:r>
      <w:r w:rsidR="00FB7570" w:rsidRPr="00506C8A">
        <w:rPr>
          <w:rFonts w:ascii="Times New Roman" w:hAnsi="Times New Roman" w:cs="Times New Roman"/>
          <w:sz w:val="24"/>
          <w:szCs w:val="24"/>
        </w:rPr>
        <w:t>-</w:t>
      </w:r>
      <w:r w:rsidRPr="00506C8A">
        <w:rPr>
          <w:rFonts w:ascii="Times New Roman" w:hAnsi="Times New Roman" w:cs="Times New Roman"/>
          <w:sz w:val="24"/>
          <w:szCs w:val="24"/>
        </w:rPr>
        <w:t>4 to +3 (i.e., 4 years before through 3 years after IFRS adoption).</w:t>
      </w:r>
      <w:r w:rsidR="008011C0" w:rsidRPr="00506C8A">
        <w:rPr>
          <w:rFonts w:ascii="Times New Roman" w:hAnsi="Times New Roman" w:cs="Times New Roman"/>
          <w:sz w:val="24"/>
          <w:szCs w:val="24"/>
        </w:rPr>
        <w:t xml:space="preserve"> </w:t>
      </w:r>
      <w:r w:rsidR="008E0157">
        <w:rPr>
          <w:rFonts w:ascii="Times New Roman" w:hAnsi="Times New Roman"/>
          <w:sz w:val="24"/>
          <w:szCs w:val="24"/>
        </w:rPr>
        <w:t xml:space="preserve">POST </w:t>
      </w:r>
      <w:r w:rsidR="008E0157">
        <w:rPr>
          <w:rFonts w:ascii="Times New Roman" w:hAnsi="Times New Roman" w:cs="Times New Roman"/>
          <w:sz w:val="24"/>
          <w:szCs w:val="24"/>
        </w:rPr>
        <w:t xml:space="preserve">is </w:t>
      </w:r>
      <w:r w:rsidR="008E0157" w:rsidRPr="0060354E">
        <w:rPr>
          <w:rFonts w:asciiTheme="majorBidi" w:hAnsiTheme="majorBidi" w:cstheme="majorBidi"/>
          <w:sz w:val="24"/>
          <w:szCs w:val="24"/>
        </w:rPr>
        <w:t xml:space="preserve">an indicator variable that equals 1 </w:t>
      </w:r>
      <w:r w:rsidR="008E0157">
        <w:rPr>
          <w:rFonts w:ascii="Times New Roman" w:hAnsi="Times New Roman" w:cs="Times New Roman"/>
          <w:sz w:val="24"/>
          <w:szCs w:val="24"/>
        </w:rPr>
        <w:t xml:space="preserve">if the firm has switched to IFRS, 0 otherwise. </w:t>
      </w:r>
      <w:r w:rsidRPr="00506C8A">
        <w:rPr>
          <w:rFonts w:ascii="Times New Roman" w:hAnsi="Times New Roman" w:cs="Times New Roman"/>
          <w:sz w:val="24"/>
          <w:szCs w:val="24"/>
          <w:vertAlign w:val="subscript"/>
        </w:rPr>
        <w:t xml:space="preserve"> </w:t>
      </w:r>
      <w:r w:rsidRPr="00506C8A">
        <w:rPr>
          <w:rFonts w:ascii="Times New Roman" w:hAnsi="Times New Roman" w:cs="Times New Roman"/>
          <w:sz w:val="24"/>
          <w:szCs w:val="24"/>
        </w:rPr>
        <w:t>S</w:t>
      </w:r>
      <w:r w:rsidR="0030754E" w:rsidRPr="00506C8A">
        <w:rPr>
          <w:rFonts w:ascii="Times New Roman" w:hAnsi="Times New Roman" w:cs="Times New Roman"/>
          <w:sz w:val="24"/>
          <w:szCs w:val="24"/>
        </w:rPr>
        <w:t>ALES_</w:t>
      </w:r>
      <w:r w:rsidRPr="00506C8A">
        <w:rPr>
          <w:rFonts w:ascii="Times New Roman" w:hAnsi="Times New Roman" w:cs="Times New Roman"/>
          <w:sz w:val="24"/>
          <w:szCs w:val="24"/>
        </w:rPr>
        <w:t>G</w:t>
      </w:r>
      <w:r w:rsidR="0030754E" w:rsidRPr="00506C8A">
        <w:rPr>
          <w:rFonts w:ascii="Times New Roman" w:hAnsi="Times New Roman" w:cs="Times New Roman"/>
          <w:sz w:val="24"/>
          <w:szCs w:val="24"/>
        </w:rPr>
        <w:t>ROWTH</w:t>
      </w:r>
      <w:r w:rsidRPr="00506C8A">
        <w:rPr>
          <w:rFonts w:ascii="Times New Roman" w:hAnsi="Times New Roman" w:cs="Times New Roman"/>
          <w:sz w:val="24"/>
          <w:szCs w:val="24"/>
        </w:rPr>
        <w:t xml:space="preserve"> is </w:t>
      </w:r>
      <w:r w:rsidR="0030754E" w:rsidRPr="00506C8A">
        <w:rPr>
          <w:rFonts w:ascii="Times New Roman" w:hAnsi="Times New Roman" w:cs="Times New Roman"/>
          <w:sz w:val="24"/>
          <w:szCs w:val="24"/>
        </w:rPr>
        <w:t xml:space="preserve">the change in sales divided by lagged sales. </w:t>
      </w:r>
      <w:r w:rsidRPr="00506C8A">
        <w:rPr>
          <w:rFonts w:ascii="Times New Roman" w:hAnsi="Times New Roman" w:cs="Times New Roman"/>
          <w:sz w:val="24"/>
          <w:szCs w:val="24"/>
        </w:rPr>
        <w:t>See Table 6 for the definition of the control variables. All variables, unless otherwise noted, are measured at fiscal year-end.</w:t>
      </w:r>
    </w:p>
    <w:p w14:paraId="73507BF7" w14:textId="77777777" w:rsidR="002D74F1" w:rsidRDefault="002D74F1" w:rsidP="002D74F1">
      <w:pPr>
        <w:spacing w:after="0" w:line="240" w:lineRule="auto"/>
        <w:contextualSpacing/>
        <w:rPr>
          <w:rFonts w:ascii="Times New Roman" w:hAnsi="Times New Roman"/>
          <w:sz w:val="24"/>
          <w:szCs w:val="24"/>
        </w:rPr>
      </w:pPr>
      <w:r w:rsidRPr="0080751D">
        <w:rPr>
          <w:rFonts w:ascii="Times New Roman" w:hAnsi="Times New Roman"/>
          <w:sz w:val="24"/>
          <w:szCs w:val="24"/>
        </w:rPr>
        <w:t>Standard errors are clustered by firm.</w:t>
      </w:r>
      <w:r>
        <w:rPr>
          <w:rFonts w:ascii="Times New Roman" w:hAnsi="Times New Roman"/>
          <w:sz w:val="24"/>
          <w:szCs w:val="24"/>
        </w:rPr>
        <w:t xml:space="preserve"> </w:t>
      </w:r>
    </w:p>
    <w:p w14:paraId="71B0AC30" w14:textId="77777777" w:rsidR="002D74F1" w:rsidRPr="0080751D" w:rsidRDefault="002D74F1" w:rsidP="002D74F1">
      <w:pPr>
        <w:spacing w:after="0" w:line="240" w:lineRule="auto"/>
        <w:contextualSpacing/>
        <w:rPr>
          <w:rFonts w:ascii="Times New Roman" w:hAnsi="Times New Roman"/>
          <w:sz w:val="24"/>
          <w:szCs w:val="24"/>
        </w:rPr>
      </w:pPr>
    </w:p>
    <w:p w14:paraId="21CA9836" w14:textId="77777777" w:rsidR="002D74F1" w:rsidRPr="0080751D" w:rsidRDefault="002D74F1" w:rsidP="002D74F1">
      <w:pPr>
        <w:spacing w:before="100" w:beforeAutospacing="1" w:after="0" w:line="240" w:lineRule="auto"/>
        <w:contextualSpacing/>
        <w:rPr>
          <w:rFonts w:ascii="Times New Roman" w:hAnsi="Times New Roman"/>
          <w:sz w:val="24"/>
          <w:szCs w:val="24"/>
        </w:rPr>
      </w:pPr>
      <w:r w:rsidRPr="0080751D">
        <w:rPr>
          <w:rFonts w:ascii="Times New Roman" w:hAnsi="Times New Roman"/>
          <w:sz w:val="24"/>
          <w:szCs w:val="24"/>
        </w:rPr>
        <w:t>*, ** and *** indicate significance at the 0.10, 0.05 and 0.01 levels, respectively.</w:t>
      </w:r>
    </w:p>
    <w:p w14:paraId="1C712EA1" w14:textId="77777777" w:rsidR="002D74F1" w:rsidRDefault="002D74F1" w:rsidP="00FC5007">
      <w:pPr>
        <w:contextualSpacing/>
        <w:rPr>
          <w:rFonts w:ascii="Times New Roman" w:hAnsi="Times New Roman" w:cs="Times New Roman"/>
          <w:b/>
          <w:sz w:val="24"/>
          <w:szCs w:val="24"/>
        </w:rPr>
      </w:pPr>
    </w:p>
    <w:p w14:paraId="1FD1AEEE" w14:textId="366C109E" w:rsidR="007C53D7" w:rsidRPr="002D74F1" w:rsidRDefault="007C53D7" w:rsidP="0030754E">
      <w:pPr>
        <w:contextualSpacing/>
        <w:rPr>
          <w:rFonts w:ascii="Times New Roman" w:hAnsi="Times New Roman" w:cs="Times New Roman"/>
          <w:b/>
          <w:sz w:val="24"/>
          <w:szCs w:val="24"/>
        </w:rPr>
      </w:pPr>
    </w:p>
    <w:sectPr w:rsidR="007C53D7" w:rsidRPr="002D74F1" w:rsidSect="00AE251F">
      <w:footerReference w:type="default" r:id="rId10"/>
      <w:pgSz w:w="12240" w:h="15840"/>
      <w:pgMar w:top="1276"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7D2C7" w14:textId="77777777" w:rsidR="00D104E8" w:rsidRDefault="00D104E8" w:rsidP="00393D6F">
      <w:pPr>
        <w:spacing w:after="0" w:line="240" w:lineRule="auto"/>
      </w:pPr>
      <w:r>
        <w:separator/>
      </w:r>
    </w:p>
  </w:endnote>
  <w:endnote w:type="continuationSeparator" w:id="0">
    <w:p w14:paraId="49CB4D41" w14:textId="77777777" w:rsidR="00D104E8" w:rsidRDefault="00D104E8" w:rsidP="00393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
    <w:altName w:val="Times New Roman"/>
    <w:panose1 w:val="00000000000000000000"/>
    <w:charset w:val="00"/>
    <w:family w:val="roman"/>
    <w:notTrueType/>
    <w:pitch w:val="default"/>
  </w:font>
  <w:font w:name="b">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9359906"/>
      <w:docPartObj>
        <w:docPartGallery w:val="Page Numbers (Bottom of Page)"/>
        <w:docPartUnique/>
      </w:docPartObj>
    </w:sdtPr>
    <w:sdtEndPr>
      <w:rPr>
        <w:rFonts w:ascii="Times New Roman" w:hAnsi="Times New Roman" w:cs="Times New Roman"/>
        <w:noProof/>
      </w:rPr>
    </w:sdtEndPr>
    <w:sdtContent>
      <w:p w14:paraId="4C5A7827" w14:textId="3C43941F" w:rsidR="005F3FDF" w:rsidRPr="00AC7E71" w:rsidRDefault="005F3FDF">
        <w:pPr>
          <w:pStyle w:val="Footer"/>
          <w:jc w:val="center"/>
          <w:rPr>
            <w:rFonts w:ascii="Times New Roman" w:hAnsi="Times New Roman" w:cs="Times New Roman"/>
          </w:rPr>
        </w:pPr>
        <w:r w:rsidRPr="00AC7E71">
          <w:rPr>
            <w:rFonts w:ascii="Times New Roman" w:hAnsi="Times New Roman" w:cs="Times New Roman"/>
          </w:rPr>
          <w:fldChar w:fldCharType="begin"/>
        </w:r>
        <w:r w:rsidRPr="00AC7E71">
          <w:rPr>
            <w:rFonts w:ascii="Times New Roman" w:hAnsi="Times New Roman" w:cs="Times New Roman"/>
          </w:rPr>
          <w:instrText xml:space="preserve"> PAGE   \* MERGEFORMAT </w:instrText>
        </w:r>
        <w:r w:rsidRPr="00AC7E71">
          <w:rPr>
            <w:rFonts w:ascii="Times New Roman" w:hAnsi="Times New Roman" w:cs="Times New Roman"/>
          </w:rPr>
          <w:fldChar w:fldCharType="separate"/>
        </w:r>
        <w:r>
          <w:rPr>
            <w:rFonts w:ascii="Times New Roman" w:hAnsi="Times New Roman" w:cs="Times New Roman"/>
            <w:noProof/>
          </w:rPr>
          <w:t>1</w:t>
        </w:r>
        <w:r w:rsidRPr="00AC7E71">
          <w:rPr>
            <w:rFonts w:ascii="Times New Roman" w:hAnsi="Times New Roman" w:cs="Times New Roman"/>
            <w:noProof/>
          </w:rPr>
          <w:fldChar w:fldCharType="end"/>
        </w:r>
      </w:p>
    </w:sdtContent>
  </w:sdt>
  <w:p w14:paraId="298AEE23" w14:textId="77777777" w:rsidR="005F3FDF" w:rsidRDefault="005F3F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941990"/>
      <w:docPartObj>
        <w:docPartGallery w:val="Page Numbers (Bottom of Page)"/>
        <w:docPartUnique/>
      </w:docPartObj>
    </w:sdtPr>
    <w:sdtEndPr>
      <w:rPr>
        <w:rFonts w:ascii="Times New Roman" w:hAnsi="Times New Roman" w:cs="Times New Roman"/>
        <w:noProof/>
      </w:rPr>
    </w:sdtEndPr>
    <w:sdtContent>
      <w:p w14:paraId="1ACB1625" w14:textId="05ACA77C" w:rsidR="005F3FDF" w:rsidRPr="00AC7E71" w:rsidRDefault="005F3FDF">
        <w:pPr>
          <w:pStyle w:val="Footer"/>
          <w:jc w:val="center"/>
          <w:rPr>
            <w:rFonts w:ascii="Times New Roman" w:hAnsi="Times New Roman" w:cs="Times New Roman"/>
          </w:rPr>
        </w:pPr>
        <w:r w:rsidRPr="00AC7E71">
          <w:rPr>
            <w:rFonts w:ascii="Times New Roman" w:hAnsi="Times New Roman" w:cs="Times New Roman"/>
          </w:rPr>
          <w:fldChar w:fldCharType="begin"/>
        </w:r>
        <w:r w:rsidRPr="00AC7E71">
          <w:rPr>
            <w:rFonts w:ascii="Times New Roman" w:hAnsi="Times New Roman" w:cs="Times New Roman"/>
          </w:rPr>
          <w:instrText xml:space="preserve"> PAGE   \* MERGEFORMAT </w:instrText>
        </w:r>
        <w:r w:rsidRPr="00AC7E71">
          <w:rPr>
            <w:rFonts w:ascii="Times New Roman" w:hAnsi="Times New Roman" w:cs="Times New Roman"/>
          </w:rPr>
          <w:fldChar w:fldCharType="separate"/>
        </w:r>
        <w:r>
          <w:rPr>
            <w:rFonts w:ascii="Times New Roman" w:hAnsi="Times New Roman" w:cs="Times New Roman"/>
            <w:noProof/>
          </w:rPr>
          <w:t>57</w:t>
        </w:r>
        <w:r w:rsidRPr="00AC7E71">
          <w:rPr>
            <w:rFonts w:ascii="Times New Roman" w:hAnsi="Times New Roman" w:cs="Times New Roman"/>
            <w:noProof/>
          </w:rPr>
          <w:fldChar w:fldCharType="end"/>
        </w:r>
      </w:p>
    </w:sdtContent>
  </w:sdt>
  <w:p w14:paraId="50541274" w14:textId="77777777" w:rsidR="005F3FDF" w:rsidRDefault="005F3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925FD" w14:textId="77777777" w:rsidR="00D104E8" w:rsidRDefault="00D104E8" w:rsidP="00393D6F">
      <w:pPr>
        <w:spacing w:after="0" w:line="240" w:lineRule="auto"/>
      </w:pPr>
      <w:r>
        <w:separator/>
      </w:r>
    </w:p>
  </w:footnote>
  <w:footnote w:type="continuationSeparator" w:id="0">
    <w:p w14:paraId="35190761" w14:textId="77777777" w:rsidR="00D104E8" w:rsidRDefault="00D104E8" w:rsidP="00393D6F">
      <w:pPr>
        <w:spacing w:after="0" w:line="240" w:lineRule="auto"/>
      </w:pPr>
      <w:r>
        <w:continuationSeparator/>
      </w:r>
    </w:p>
  </w:footnote>
  <w:footnote w:id="1">
    <w:p w14:paraId="6DA1D7AA" w14:textId="433551B2" w:rsidR="005F3FDF" w:rsidRPr="00E876BE" w:rsidRDefault="005F3FDF" w:rsidP="002D7BF1">
      <w:pPr>
        <w:pStyle w:val="FootnoteText"/>
        <w:jc w:val="both"/>
        <w:rPr>
          <w:rFonts w:ascii="Times New Roman" w:hAnsi="Times New Roman" w:cs="Times New Roman"/>
          <w:lang w:val="en-GB"/>
        </w:rPr>
      </w:pPr>
      <w:r w:rsidRPr="00E876BE">
        <w:rPr>
          <w:rStyle w:val="FootnoteReference"/>
          <w:rFonts w:ascii="Times New Roman" w:hAnsi="Times New Roman" w:cs="Times New Roman"/>
        </w:rPr>
        <w:footnoteRef/>
      </w:r>
      <w:r w:rsidRPr="00E876BE">
        <w:rPr>
          <w:rFonts w:ascii="Times New Roman" w:hAnsi="Times New Roman" w:cs="Times New Roman"/>
        </w:rPr>
        <w:t xml:space="preserve"> </w:t>
      </w:r>
      <w:r w:rsidRPr="00683F2D">
        <w:rPr>
          <w:rFonts w:ascii="Times New Roman" w:hAnsi="Times New Roman" w:cs="Times New Roman"/>
        </w:rPr>
        <w:t xml:space="preserve">EU Regulation No. 1606/2002 required that the consolidated financial statements of European companies whose securities </w:t>
      </w:r>
      <w:r>
        <w:rPr>
          <w:rFonts w:ascii="Times New Roman" w:hAnsi="Times New Roman" w:cs="Times New Roman"/>
        </w:rPr>
        <w:t xml:space="preserve">are </w:t>
      </w:r>
      <w:r w:rsidRPr="00683F2D">
        <w:rPr>
          <w:rFonts w:ascii="Times New Roman" w:hAnsi="Times New Roman" w:cs="Times New Roman"/>
        </w:rPr>
        <w:t xml:space="preserve">traded on a regulated market (e.g., the London Stock Exchange) be prepared under IFRS for fiscal years beginning on or after January 1, 2005. The listing requirements of the Alternative Investment Market (AIM), which is not considered a regulated market by the EU, required European firms to adopt IFRS for fiscal years beginning on or after January 1, 2007. </w:t>
      </w:r>
      <w:r>
        <w:rPr>
          <w:rFonts w:ascii="Times New Roman" w:hAnsi="Times New Roman" w:cs="Times New Roman"/>
        </w:rPr>
        <w:t xml:space="preserve">One of our AIM listed sample firms (Forbidden Technologies Plc) delayed adopting IFRS until their 2009 fiscal year. </w:t>
      </w:r>
      <w:r w:rsidRPr="00E876BE">
        <w:rPr>
          <w:rFonts w:ascii="Times New Roman" w:hAnsi="Times New Roman" w:cs="Times New Roman"/>
        </w:rPr>
        <w:t xml:space="preserve">For brevity, we refer to the adoption year as 2005. We provide the detailed discussion of our data and sample (Section 4) and empirical tests (Section </w:t>
      </w:r>
      <w:r>
        <w:rPr>
          <w:rFonts w:ascii="Times New Roman" w:hAnsi="Times New Roman" w:cs="Times New Roman"/>
        </w:rPr>
        <w:t>6</w:t>
      </w:r>
      <w:r w:rsidRPr="00E876BE">
        <w:rPr>
          <w:rFonts w:ascii="Times New Roman" w:hAnsi="Times New Roman" w:cs="Times New Roman"/>
        </w:rPr>
        <w:t>).</w:t>
      </w:r>
      <w:r w:rsidRPr="00566A34">
        <w:rPr>
          <w:rFonts w:ascii="Times New Roman" w:hAnsi="Times New Roman" w:cs="Times New Roman"/>
        </w:rPr>
        <w:t xml:space="preserve"> </w:t>
      </w:r>
      <w:r>
        <w:rPr>
          <w:rFonts w:ascii="Times New Roman" w:hAnsi="Times New Roman" w:cs="Times New Roman"/>
        </w:rPr>
        <w:t xml:space="preserve">As discussed below, only development expenditures may be capitalized. </w:t>
      </w:r>
      <w:r w:rsidRPr="00393D6F">
        <w:rPr>
          <w:rFonts w:ascii="Times New Roman" w:hAnsi="Times New Roman" w:cs="Times New Roman"/>
        </w:rPr>
        <w:t>We use the term R&amp;D to maintain consistency with the literature</w:t>
      </w:r>
      <w:r>
        <w:rPr>
          <w:rFonts w:ascii="Times New Roman" w:hAnsi="Times New Roman" w:cs="Times New Roman"/>
        </w:rPr>
        <w:t>, and because both R and D expenditures are aggregated into one line item, so we cannot separately analyze them anyway.</w:t>
      </w:r>
    </w:p>
  </w:footnote>
  <w:footnote w:id="2">
    <w:p w14:paraId="2C9E4019" w14:textId="088588DB" w:rsidR="005F3FDF" w:rsidRPr="00042E8B" w:rsidRDefault="005F3FDF" w:rsidP="00E57659">
      <w:pPr>
        <w:pStyle w:val="FootnoteText"/>
        <w:jc w:val="both"/>
        <w:rPr>
          <w:rFonts w:ascii="Times New Roman" w:hAnsi="Times New Roman" w:cs="Times New Roman"/>
          <w:b/>
          <w:i/>
        </w:rPr>
      </w:pPr>
      <w:r w:rsidRPr="00042E8B">
        <w:rPr>
          <w:rStyle w:val="FootnoteReference"/>
          <w:rFonts w:ascii="Times New Roman" w:hAnsi="Times New Roman" w:cs="Times New Roman"/>
        </w:rPr>
        <w:footnoteRef/>
      </w:r>
      <w:r>
        <w:rPr>
          <w:rFonts w:ascii="Times New Roman" w:hAnsi="Times New Roman" w:cs="Times New Roman"/>
          <w:i/>
        </w:rPr>
        <w:t xml:space="preserve"> </w:t>
      </w:r>
      <w:r w:rsidRPr="00530A0D">
        <w:rPr>
          <w:rFonts w:ascii="Times New Roman" w:hAnsi="Times New Roman" w:cs="Times New Roman"/>
          <w:i/>
        </w:rPr>
        <w:t>Statement of Financial Accounting Standard No. 2: Accounting for Research and Development Costs</w:t>
      </w:r>
      <w:r>
        <w:rPr>
          <w:rFonts w:ascii="Times New Roman" w:hAnsi="Times New Roman" w:cs="Times New Roman"/>
        </w:rPr>
        <w:t xml:space="preserve">, 1974. </w:t>
      </w:r>
      <w:r w:rsidRPr="00042E8B">
        <w:rPr>
          <w:rFonts w:ascii="Times New Roman" w:hAnsi="Times New Roman" w:cs="Times New Roman"/>
        </w:rPr>
        <w:t xml:space="preserve">The one exception is </w:t>
      </w:r>
      <w:r>
        <w:rPr>
          <w:rFonts w:ascii="Times New Roman" w:hAnsi="Times New Roman" w:cs="Times New Roman"/>
        </w:rPr>
        <w:t>SFAS No. 86, which allows capitalization of software development costs.</w:t>
      </w:r>
    </w:p>
  </w:footnote>
  <w:footnote w:id="3">
    <w:p w14:paraId="248BD7BB" w14:textId="77777777" w:rsidR="005F3FDF" w:rsidRPr="00B07D60" w:rsidRDefault="005F3FDF" w:rsidP="00F46937">
      <w:pPr>
        <w:pStyle w:val="FootnoteText"/>
        <w:jc w:val="both"/>
        <w:rPr>
          <w:rFonts w:ascii="Times New Roman" w:hAnsi="Times New Roman" w:cs="Times New Roman"/>
        </w:rPr>
      </w:pPr>
      <w:r w:rsidRPr="00B07D60">
        <w:rPr>
          <w:rStyle w:val="FootnoteReference"/>
          <w:rFonts w:ascii="Times New Roman" w:hAnsi="Times New Roman" w:cs="Times New Roman"/>
        </w:rPr>
        <w:footnoteRef/>
      </w:r>
      <w:r w:rsidRPr="00B07D60">
        <w:rPr>
          <w:rFonts w:ascii="Times New Roman" w:hAnsi="Times New Roman" w:cs="Times New Roman"/>
        </w:rPr>
        <w:t xml:space="preserve"> We also used propensity score matching and coarsened exact matching, with similar results</w:t>
      </w:r>
      <w:r>
        <w:rPr>
          <w:rFonts w:ascii="Times New Roman" w:hAnsi="Times New Roman" w:cs="Times New Roman"/>
        </w:rPr>
        <w:t xml:space="preserve"> (untabulated)</w:t>
      </w:r>
      <w:r w:rsidRPr="00B07D60">
        <w:rPr>
          <w:rFonts w:ascii="Times New Roman" w:hAnsi="Times New Roman" w:cs="Times New Roman"/>
        </w:rPr>
        <w:t>.</w:t>
      </w:r>
    </w:p>
  </w:footnote>
  <w:footnote w:id="4">
    <w:p w14:paraId="51F582F0" w14:textId="50F57A89" w:rsidR="005F3FDF" w:rsidRPr="00213A2D" w:rsidRDefault="005F3FDF" w:rsidP="00E757AB">
      <w:pPr>
        <w:pStyle w:val="FootnoteText"/>
        <w:jc w:val="both"/>
        <w:rPr>
          <w:rFonts w:ascii="Times New Roman" w:hAnsi="Times New Roman" w:cs="Times New Roman"/>
        </w:rPr>
      </w:pPr>
      <w:r w:rsidRPr="00B6339D">
        <w:rPr>
          <w:rStyle w:val="FootnoteReference"/>
          <w:rFonts w:ascii="Times New Roman" w:hAnsi="Times New Roman" w:cs="Times New Roman"/>
        </w:rPr>
        <w:footnoteRef/>
      </w:r>
      <w:r>
        <w:rPr>
          <w:rFonts w:ascii="Times New Roman" w:hAnsi="Times New Roman" w:cs="Times New Roman"/>
        </w:rPr>
        <w:t xml:space="preserve"> </w:t>
      </w:r>
      <w:r w:rsidRPr="00B6339D">
        <w:rPr>
          <w:rFonts w:ascii="Times New Roman" w:hAnsi="Times New Roman" w:cs="Times New Roman"/>
        </w:rPr>
        <w:t>We have also run all of our tests with industry adjusted variables</w:t>
      </w:r>
      <w:r>
        <w:rPr>
          <w:rFonts w:ascii="Times New Roman" w:hAnsi="Times New Roman" w:cs="Times New Roman"/>
        </w:rPr>
        <w:t>, and</w:t>
      </w:r>
      <w:r w:rsidRPr="00B6339D">
        <w:rPr>
          <w:rFonts w:ascii="Times New Roman" w:hAnsi="Times New Roman" w:cs="Times New Roman"/>
        </w:rPr>
        <w:t xml:space="preserve"> with standard errors clustered by industry, with very similar results</w:t>
      </w:r>
      <w:r w:rsidRPr="00213A2D">
        <w:rPr>
          <w:rFonts w:ascii="Times New Roman" w:hAnsi="Times New Roman" w:cs="Times New Roman"/>
        </w:rPr>
        <w:t>.</w:t>
      </w:r>
    </w:p>
  </w:footnote>
  <w:footnote w:id="5">
    <w:p w14:paraId="6FE5C1A8" w14:textId="65FDEC16" w:rsidR="005F3FDF" w:rsidRPr="00F67D90" w:rsidRDefault="005F3FDF" w:rsidP="00E757AB">
      <w:pPr>
        <w:pStyle w:val="FootnoteText"/>
        <w:jc w:val="both"/>
        <w:rPr>
          <w:rFonts w:ascii="Times New Roman" w:hAnsi="Times New Roman" w:cs="Times New Roman"/>
        </w:rPr>
      </w:pPr>
      <w:r w:rsidRPr="00F67D90">
        <w:rPr>
          <w:rStyle w:val="FootnoteReference"/>
          <w:rFonts w:ascii="Times New Roman" w:hAnsi="Times New Roman" w:cs="Times New Roman"/>
        </w:rPr>
        <w:footnoteRef/>
      </w:r>
      <w:r w:rsidRPr="00F67D90">
        <w:rPr>
          <w:rFonts w:ascii="Times New Roman" w:hAnsi="Times New Roman" w:cs="Times New Roman"/>
        </w:rPr>
        <w:t xml:space="preserve"> </w:t>
      </w:r>
      <w:r>
        <w:rPr>
          <w:rFonts w:ascii="Times New Roman" w:hAnsi="Times New Roman" w:cs="Times New Roman"/>
        </w:rPr>
        <w:t>Under UK GAAP, SSAP 13 (para. 25) states that development expenditures should be written off in the year of the expenditure, but it does allow for the deferral of these expenditures to future periods if the following conditions are met:</w:t>
      </w:r>
      <w:r w:rsidRPr="00F67D90">
        <w:rPr>
          <w:rFonts w:ascii="Times New Roman" w:hAnsi="Times New Roman" w:cs="Times New Roman"/>
        </w:rPr>
        <w:t xml:space="preserve"> (</w:t>
      </w:r>
      <w:r>
        <w:rPr>
          <w:rFonts w:ascii="Times New Roman" w:hAnsi="Times New Roman" w:cs="Times New Roman"/>
        </w:rPr>
        <w:t>a</w:t>
      </w:r>
      <w:r w:rsidRPr="00F67D90">
        <w:rPr>
          <w:rFonts w:ascii="Times New Roman" w:hAnsi="Times New Roman" w:cs="Times New Roman"/>
        </w:rPr>
        <w:t>) There is a clearly defined project; (</w:t>
      </w:r>
      <w:r>
        <w:rPr>
          <w:rFonts w:ascii="Times New Roman" w:hAnsi="Times New Roman" w:cs="Times New Roman"/>
        </w:rPr>
        <w:t>b</w:t>
      </w:r>
      <w:r w:rsidRPr="00F67D90">
        <w:rPr>
          <w:rFonts w:ascii="Times New Roman" w:hAnsi="Times New Roman" w:cs="Times New Roman"/>
        </w:rPr>
        <w:t>) The related expenditure is separately identifiable; (</w:t>
      </w:r>
      <w:r>
        <w:rPr>
          <w:rFonts w:ascii="Times New Roman" w:hAnsi="Times New Roman" w:cs="Times New Roman"/>
        </w:rPr>
        <w:t>c</w:t>
      </w:r>
      <w:r w:rsidRPr="00F67D90">
        <w:rPr>
          <w:rFonts w:ascii="Times New Roman" w:hAnsi="Times New Roman" w:cs="Times New Roman"/>
        </w:rPr>
        <w:t>) The outcome of the project is examined for its technical feasibility and its ultimate commercial viability considered in light of factors such as likely market conditions (including competing products), public opinion, and consumer and environmental legislation; (</w:t>
      </w:r>
      <w:r>
        <w:rPr>
          <w:rFonts w:ascii="Times New Roman" w:hAnsi="Times New Roman" w:cs="Times New Roman"/>
        </w:rPr>
        <w:t>d</w:t>
      </w:r>
      <w:r w:rsidRPr="00F67D90">
        <w:rPr>
          <w:rFonts w:ascii="Times New Roman" w:hAnsi="Times New Roman" w:cs="Times New Roman"/>
        </w:rPr>
        <w:t>) The aggregate of deferred development costs, any further development costs, and related production, selling and administrative costs is reasonably expected to be exceeded by related future sales or other revenues; and (</w:t>
      </w:r>
      <w:r>
        <w:rPr>
          <w:rFonts w:ascii="Times New Roman" w:hAnsi="Times New Roman" w:cs="Times New Roman"/>
        </w:rPr>
        <w:t>e</w:t>
      </w:r>
      <w:r w:rsidRPr="00F67D90">
        <w:rPr>
          <w:rFonts w:ascii="Times New Roman" w:hAnsi="Times New Roman" w:cs="Times New Roman"/>
        </w:rPr>
        <w:t>) Adequate resources exist, or are reasonably expected to be available, to enable the project to be completed and to provide any consequential increases in working capital [Statement of Standard Accounting Practice (SSAP) No. 13, 1989]. Any expenditures on research (pure or applied) must be expensed in the period incurred. In summary, the conditions are intended to ensure that an asset is indeed created by the R&amp;D expenditures</w:t>
      </w:r>
      <w:r>
        <w:rPr>
          <w:rFonts w:ascii="Times New Roman" w:hAnsi="Times New Roman" w:cs="Times New Roman"/>
        </w:rPr>
        <w:t xml:space="preserve"> (this applies to IAS 38 as well)</w:t>
      </w:r>
      <w:r w:rsidRPr="00F67D90">
        <w:rPr>
          <w:rFonts w:ascii="Times New Roman" w:hAnsi="Times New Roman" w:cs="Times New Roman"/>
        </w:rPr>
        <w:t xml:space="preserve">. </w:t>
      </w:r>
      <w:r>
        <w:rPr>
          <w:rFonts w:ascii="Times New Roman" w:hAnsi="Times New Roman" w:cs="Times New Roman"/>
        </w:rPr>
        <w:t xml:space="preserve">See section 5 for a discussion of the costs and benefits of capitalization under UK GAAP. </w:t>
      </w:r>
    </w:p>
  </w:footnote>
  <w:footnote w:id="6">
    <w:p w14:paraId="58ED0C62" w14:textId="3C7220F4" w:rsidR="005F3FDF" w:rsidRPr="00004FCB" w:rsidRDefault="005F3FDF" w:rsidP="00E757AB">
      <w:pPr>
        <w:pStyle w:val="FootnoteText"/>
        <w:jc w:val="both"/>
        <w:rPr>
          <w:rFonts w:ascii="Times New Roman" w:hAnsi="Times New Roman" w:cs="Times New Roman"/>
        </w:rPr>
      </w:pPr>
      <w:r w:rsidRPr="00393D6F">
        <w:rPr>
          <w:rStyle w:val="FootnoteReference"/>
          <w:rFonts w:ascii="Times New Roman" w:hAnsi="Times New Roman" w:cs="Times New Roman"/>
        </w:rPr>
        <w:footnoteRef/>
      </w:r>
      <w:r>
        <w:rPr>
          <w:rFonts w:ascii="Times New Roman" w:hAnsi="Times New Roman" w:cs="Times New Roman"/>
        </w:rPr>
        <w:t xml:space="preserve"> In both SSAP 13 and IAS 38 r</w:t>
      </w:r>
      <w:r w:rsidRPr="00393D6F">
        <w:rPr>
          <w:rFonts w:ascii="Times New Roman" w:hAnsi="Times New Roman" w:cs="Times New Roman"/>
        </w:rPr>
        <w:t>esearch expenditures must be expensed</w:t>
      </w:r>
      <w:r>
        <w:rPr>
          <w:rFonts w:ascii="Times New Roman" w:hAnsi="Times New Roman" w:cs="Times New Roman"/>
        </w:rPr>
        <w:t xml:space="preserve">; only development expenditures may be capitalized, resulting in a development asset. </w:t>
      </w:r>
      <w:r w:rsidRPr="00393D6F">
        <w:rPr>
          <w:rFonts w:ascii="Times New Roman" w:hAnsi="Times New Roman" w:cs="Times New Roman"/>
        </w:rPr>
        <w:t>We use the term R&amp;D to maintain consistency with the literature.</w:t>
      </w:r>
      <w:r>
        <w:rPr>
          <w:rFonts w:ascii="Times New Roman" w:hAnsi="Times New Roman" w:cs="Times New Roman"/>
        </w:rPr>
        <w:t xml:space="preserve"> Furthermore, both R and D expenditures are aggregated into one line item, so we cannot separately analyze them anyway.</w:t>
      </w:r>
      <w:r w:rsidRPr="008E5B7C">
        <w:t xml:space="preserve"> </w:t>
      </w:r>
      <w:r w:rsidRPr="00004FCB">
        <w:rPr>
          <w:rFonts w:ascii="Times New Roman" w:hAnsi="Times New Roman" w:cs="Times New Roman"/>
        </w:rPr>
        <w:t xml:space="preserve">While managers may have some discretion in classifying their expenditures, we do </w:t>
      </w:r>
      <w:r>
        <w:rPr>
          <w:rFonts w:ascii="Times New Roman" w:hAnsi="Times New Roman" w:cs="Times New Roman"/>
        </w:rPr>
        <w:t>not believe that this biases our test results</w:t>
      </w:r>
      <w:r w:rsidRPr="00004FCB">
        <w:rPr>
          <w:rFonts w:ascii="Times New Roman" w:hAnsi="Times New Roman" w:cs="Times New Roman"/>
        </w:rPr>
        <w:t xml:space="preserve"> for many reasons. First, nothing has changed for UK GAAP </w:t>
      </w:r>
      <w:r>
        <w:rPr>
          <w:rFonts w:ascii="Times New Roman" w:hAnsi="Times New Roman" w:cs="Times New Roman"/>
        </w:rPr>
        <w:t>c</w:t>
      </w:r>
      <w:r w:rsidRPr="00004FCB">
        <w:rPr>
          <w:rFonts w:ascii="Times New Roman" w:hAnsi="Times New Roman" w:cs="Times New Roman"/>
        </w:rPr>
        <w:t>apitalizers, so any bias story can’t be about them. If switchers exercise discretion to classify expenditures as R, it is difficult to understand why this would cause them to increase expenditures, since R must be expensed. Using discretion to classify expenditures as D allows switchers to take more advantage of the expense deferral, and they can increase their expenditures without suffering an income penalty, wh</w:t>
      </w:r>
      <w:r>
        <w:rPr>
          <w:rFonts w:ascii="Times New Roman" w:hAnsi="Times New Roman" w:cs="Times New Roman"/>
        </w:rPr>
        <w:t>ich is exactly what we predict</w:t>
      </w:r>
      <w:r w:rsidRPr="00004FCB">
        <w:rPr>
          <w:rFonts w:ascii="Times New Roman" w:hAnsi="Times New Roman" w:cs="Times New Roman"/>
        </w:rPr>
        <w:t>. Th</w:t>
      </w:r>
      <w:r>
        <w:rPr>
          <w:rFonts w:ascii="Times New Roman" w:hAnsi="Times New Roman" w:cs="Times New Roman"/>
        </w:rPr>
        <w:t>u</w:t>
      </w:r>
      <w:r w:rsidRPr="00004FCB">
        <w:rPr>
          <w:rFonts w:ascii="Times New Roman" w:hAnsi="Times New Roman" w:cs="Times New Roman"/>
        </w:rPr>
        <w:t xml:space="preserve">s, although we can't know for sure which component increased, it is hard to imagine that </w:t>
      </w:r>
      <w:r>
        <w:rPr>
          <w:rFonts w:ascii="Times New Roman" w:hAnsi="Times New Roman" w:cs="Times New Roman"/>
        </w:rPr>
        <w:t>s</w:t>
      </w:r>
      <w:r w:rsidRPr="00004FCB">
        <w:rPr>
          <w:rFonts w:ascii="Times New Roman" w:hAnsi="Times New Roman" w:cs="Times New Roman"/>
        </w:rPr>
        <w:t xml:space="preserve">witchers increased R right at the time of the switch. </w:t>
      </w:r>
    </w:p>
  </w:footnote>
  <w:footnote w:id="7">
    <w:p w14:paraId="54B04556" w14:textId="1A4EF95E" w:rsidR="005F3FDF" w:rsidRPr="008E13D4" w:rsidRDefault="005F3FDF" w:rsidP="00E757AB">
      <w:pPr>
        <w:pStyle w:val="FootnoteText"/>
        <w:jc w:val="both"/>
        <w:rPr>
          <w:rFonts w:ascii="Times New Roman" w:hAnsi="Times New Roman" w:cs="Times New Roman"/>
        </w:rPr>
      </w:pPr>
      <w:r>
        <w:rPr>
          <w:rStyle w:val="FootnoteReference"/>
        </w:rPr>
        <w:footnoteRef/>
      </w:r>
      <w:r>
        <w:t xml:space="preserve"> </w:t>
      </w:r>
      <w:r w:rsidRPr="008E13D4">
        <w:rPr>
          <w:rFonts w:ascii="Times New Roman" w:hAnsi="Times New Roman" w:cs="Times New Roman"/>
        </w:rPr>
        <w:t>We choose 4 years on either side of IFRS adoption to ensure we have enough data for precise estimation of coefficients but also to be confident that any effects are due to mandatory capitalization and not to other changes.             We also ran our tests on the three year window around IFRS adoption. Results (untabulated) are consistent with those in the paper.</w:t>
      </w:r>
    </w:p>
  </w:footnote>
  <w:footnote w:id="8">
    <w:p w14:paraId="6FDDB02E" w14:textId="63F5A1D6" w:rsidR="005F3FDF" w:rsidRPr="00511992" w:rsidRDefault="005F3FDF" w:rsidP="00E757AB">
      <w:pPr>
        <w:pStyle w:val="FootnoteText"/>
        <w:jc w:val="both"/>
        <w:rPr>
          <w:rFonts w:ascii="Times New Roman" w:hAnsi="Times New Roman" w:cs="Times New Roman"/>
        </w:rPr>
      </w:pPr>
      <w:r w:rsidRPr="00511992">
        <w:rPr>
          <w:rStyle w:val="FootnoteReference"/>
          <w:rFonts w:ascii="Times New Roman" w:hAnsi="Times New Roman" w:cs="Times New Roman"/>
        </w:rPr>
        <w:footnoteRef/>
      </w:r>
      <w:r w:rsidRPr="00511992">
        <w:rPr>
          <w:rFonts w:ascii="Times New Roman" w:hAnsi="Times New Roman" w:cs="Times New Roman"/>
        </w:rPr>
        <w:t xml:space="preserve"> For example, for a firm that adopted IFRS in 2005, we deleted the 200</w:t>
      </w:r>
      <w:r>
        <w:rPr>
          <w:rFonts w:ascii="Times New Roman" w:hAnsi="Times New Roman" w:cs="Times New Roman"/>
        </w:rPr>
        <w:t>9</w:t>
      </w:r>
      <w:r w:rsidRPr="00511992">
        <w:rPr>
          <w:rFonts w:ascii="Times New Roman" w:hAnsi="Times New Roman" w:cs="Times New Roman"/>
        </w:rPr>
        <w:t>-201</w:t>
      </w:r>
      <w:r>
        <w:rPr>
          <w:rFonts w:ascii="Times New Roman" w:hAnsi="Times New Roman" w:cs="Times New Roman"/>
        </w:rPr>
        <w:t>2</w:t>
      </w:r>
      <w:r w:rsidRPr="00511992">
        <w:rPr>
          <w:rFonts w:ascii="Times New Roman" w:hAnsi="Times New Roman" w:cs="Times New Roman"/>
        </w:rPr>
        <w:t xml:space="preserve"> firm-year observations. Similarly, for a firm that adopted IFRS in 2008, we deleted the 200</w:t>
      </w:r>
      <w:r>
        <w:rPr>
          <w:rFonts w:ascii="Times New Roman" w:hAnsi="Times New Roman" w:cs="Times New Roman"/>
        </w:rPr>
        <w:t>1</w:t>
      </w:r>
      <w:r w:rsidRPr="00511992">
        <w:rPr>
          <w:rFonts w:ascii="Times New Roman" w:hAnsi="Times New Roman" w:cs="Times New Roman"/>
        </w:rPr>
        <w:t>-200</w:t>
      </w:r>
      <w:r>
        <w:rPr>
          <w:rFonts w:ascii="Times New Roman" w:hAnsi="Times New Roman" w:cs="Times New Roman"/>
        </w:rPr>
        <w:t>3</w:t>
      </w:r>
      <w:r w:rsidRPr="00511992">
        <w:rPr>
          <w:rFonts w:ascii="Times New Roman" w:hAnsi="Times New Roman" w:cs="Times New Roman"/>
        </w:rPr>
        <w:t xml:space="preserve"> and 201</w:t>
      </w:r>
      <w:r>
        <w:rPr>
          <w:rFonts w:ascii="Times New Roman" w:hAnsi="Times New Roman" w:cs="Times New Roman"/>
        </w:rPr>
        <w:t>2</w:t>
      </w:r>
      <w:r w:rsidRPr="00511992">
        <w:rPr>
          <w:rFonts w:ascii="Times New Roman" w:hAnsi="Times New Roman" w:cs="Times New Roman"/>
        </w:rPr>
        <w:t xml:space="preserve"> firm-year observations.</w:t>
      </w:r>
    </w:p>
  </w:footnote>
  <w:footnote w:id="9">
    <w:p w14:paraId="521B61FF" w14:textId="25E7639C" w:rsidR="005F3FDF" w:rsidRPr="00C24B18" w:rsidRDefault="005F3FDF" w:rsidP="00E757AB">
      <w:pPr>
        <w:pStyle w:val="FootnoteText"/>
        <w:jc w:val="both"/>
        <w:rPr>
          <w:rFonts w:ascii="Times New Roman" w:hAnsi="Times New Roman" w:cs="Times New Roman"/>
        </w:rPr>
      </w:pPr>
      <w:r w:rsidRPr="00F67D90">
        <w:rPr>
          <w:rStyle w:val="FootnoteReference"/>
          <w:rFonts w:ascii="Times New Roman" w:hAnsi="Times New Roman" w:cs="Times New Roman"/>
        </w:rPr>
        <w:footnoteRef/>
      </w:r>
      <w:r w:rsidRPr="00F67D90">
        <w:rPr>
          <w:rFonts w:ascii="Times New Roman" w:hAnsi="Times New Roman" w:cs="Times New Roman"/>
        </w:rPr>
        <w:t xml:space="preserve"> Koh and Reeb (2015) discuss solutions to the problem of missing R&amp;D observations, when R&amp;D is the </w:t>
      </w:r>
      <w:r w:rsidRPr="00C24B18">
        <w:rPr>
          <w:rFonts w:ascii="Times New Roman" w:hAnsi="Times New Roman" w:cs="Times New Roman"/>
        </w:rPr>
        <w:t xml:space="preserve">independent variable. </w:t>
      </w:r>
      <w:r>
        <w:rPr>
          <w:rFonts w:ascii="Times New Roman" w:hAnsi="Times New Roman" w:cs="Times New Roman"/>
        </w:rPr>
        <w:t>However, i</w:t>
      </w:r>
      <w:r w:rsidRPr="00C24B18">
        <w:rPr>
          <w:rFonts w:ascii="Times New Roman" w:hAnsi="Times New Roman" w:cs="Times New Roman"/>
        </w:rPr>
        <w:t>n our paper, R&amp;D is the dependent variable</w:t>
      </w:r>
      <w:r>
        <w:rPr>
          <w:rFonts w:ascii="Times New Roman" w:hAnsi="Times New Roman" w:cs="Times New Roman"/>
        </w:rPr>
        <w:t>, so we cannot use their methods.</w:t>
      </w:r>
    </w:p>
  </w:footnote>
  <w:footnote w:id="10">
    <w:p w14:paraId="0A94EC19" w14:textId="3512490E" w:rsidR="005F3FDF" w:rsidRPr="00B11B7B" w:rsidRDefault="005F3FDF">
      <w:pPr>
        <w:pStyle w:val="FootnoteText"/>
        <w:rPr>
          <w:rFonts w:ascii="Times New Roman" w:hAnsi="Times New Roman" w:cs="Times New Roman"/>
        </w:rPr>
      </w:pPr>
      <w:r w:rsidRPr="00B11B7B">
        <w:rPr>
          <w:rStyle w:val="FootnoteReference"/>
          <w:rFonts w:ascii="Times New Roman" w:hAnsi="Times New Roman" w:cs="Times New Roman"/>
        </w:rPr>
        <w:footnoteRef/>
      </w:r>
      <w:r w:rsidRPr="00B11B7B">
        <w:rPr>
          <w:rFonts w:ascii="Times New Roman" w:hAnsi="Times New Roman" w:cs="Times New Roman"/>
        </w:rPr>
        <w:t xml:space="preserve"> In supplemental tests, we include the </w:t>
      </w:r>
      <w:r>
        <w:rPr>
          <w:rFonts w:ascii="Times New Roman" w:hAnsi="Times New Roman" w:cs="Times New Roman"/>
        </w:rPr>
        <w:t>non-switchers</w:t>
      </w:r>
      <w:r w:rsidRPr="00B11B7B">
        <w:rPr>
          <w:rFonts w:ascii="Times New Roman" w:hAnsi="Times New Roman" w:cs="Times New Roman"/>
        </w:rPr>
        <w:t xml:space="preserve">; we apply the same sample construction criteria as </w:t>
      </w:r>
      <w:r>
        <w:rPr>
          <w:rFonts w:ascii="Times New Roman" w:hAnsi="Times New Roman" w:cs="Times New Roman"/>
        </w:rPr>
        <w:t>above</w:t>
      </w:r>
      <w:r w:rsidRPr="00B11B7B">
        <w:rPr>
          <w:rFonts w:ascii="Times New Roman" w:hAnsi="Times New Roman" w:cs="Times New Roman"/>
        </w:rPr>
        <w:t xml:space="preserve"> to obtain a balanced sample. This results in 736 firm years (92 firms). </w:t>
      </w:r>
    </w:p>
  </w:footnote>
  <w:footnote w:id="11">
    <w:p w14:paraId="488F8794" w14:textId="77777777" w:rsidR="005F3FDF" w:rsidRPr="00AC765E" w:rsidRDefault="005F3FDF" w:rsidP="000E7A38">
      <w:pPr>
        <w:pStyle w:val="FootnoteText"/>
        <w:jc w:val="both"/>
        <w:rPr>
          <w:rFonts w:asciiTheme="majorBidi" w:hAnsiTheme="majorBidi" w:cstheme="majorBidi"/>
        </w:rPr>
      </w:pPr>
      <w:r w:rsidRPr="00AC765E">
        <w:rPr>
          <w:rStyle w:val="FootnoteReference"/>
          <w:rFonts w:asciiTheme="majorBidi" w:hAnsiTheme="majorBidi" w:cstheme="majorBidi"/>
        </w:rPr>
        <w:footnoteRef/>
      </w:r>
      <w:r w:rsidRPr="00AC765E">
        <w:rPr>
          <w:rFonts w:asciiTheme="majorBidi" w:hAnsiTheme="majorBidi" w:cstheme="majorBidi"/>
        </w:rPr>
        <w:t xml:space="preserve"> </w:t>
      </w:r>
      <w:r>
        <w:rPr>
          <w:rFonts w:asciiTheme="majorBidi" w:hAnsiTheme="majorBidi" w:cstheme="majorBidi"/>
        </w:rPr>
        <w:t>In order to understand why some expensers did not switch, w</w:t>
      </w:r>
      <w:r w:rsidRPr="00AC765E">
        <w:rPr>
          <w:rFonts w:asciiTheme="majorBidi" w:hAnsiTheme="majorBidi" w:cstheme="majorBidi"/>
        </w:rPr>
        <w:t>e</w:t>
      </w:r>
      <w:r>
        <w:rPr>
          <w:rFonts w:asciiTheme="majorBidi" w:hAnsiTheme="majorBidi" w:cstheme="majorBidi"/>
        </w:rPr>
        <w:t xml:space="preserve"> </w:t>
      </w:r>
      <w:r w:rsidRPr="00AC765E">
        <w:rPr>
          <w:rFonts w:asciiTheme="majorBidi" w:hAnsiTheme="majorBidi" w:cstheme="majorBidi"/>
        </w:rPr>
        <w:t>compared</w:t>
      </w:r>
      <w:r>
        <w:rPr>
          <w:rFonts w:asciiTheme="majorBidi" w:hAnsiTheme="majorBidi" w:cstheme="majorBidi"/>
        </w:rPr>
        <w:t xml:space="preserve"> </w:t>
      </w:r>
      <w:r w:rsidRPr="00AC765E">
        <w:rPr>
          <w:rFonts w:asciiTheme="majorBidi" w:hAnsiTheme="majorBidi" w:cstheme="majorBidi"/>
        </w:rPr>
        <w:t>the</w:t>
      </w:r>
      <w:r>
        <w:rPr>
          <w:rFonts w:asciiTheme="majorBidi" w:hAnsiTheme="majorBidi" w:cstheme="majorBidi"/>
        </w:rPr>
        <w:t xml:space="preserve">se non-switchers </w:t>
      </w:r>
      <w:r w:rsidRPr="00AC765E">
        <w:rPr>
          <w:rFonts w:asciiTheme="majorBidi" w:hAnsiTheme="majorBidi" w:cstheme="majorBidi"/>
        </w:rPr>
        <w:t>to the switchers</w:t>
      </w:r>
      <w:r>
        <w:rPr>
          <w:rFonts w:asciiTheme="majorBidi" w:hAnsiTheme="majorBidi" w:cstheme="majorBidi"/>
        </w:rPr>
        <w:t xml:space="preserve"> by estimating a Logit model with the two groups, and by examining all 167 non-switchers’ R&amp;D footnotes. While the Logit model </w:t>
      </w:r>
      <w:r w:rsidRPr="00AC765E">
        <w:rPr>
          <w:rFonts w:asciiTheme="majorBidi" w:hAnsiTheme="majorBidi" w:cstheme="majorBidi"/>
        </w:rPr>
        <w:t>(results, untabulated for brevity, are available from the authors on request)</w:t>
      </w:r>
      <w:r>
        <w:rPr>
          <w:rFonts w:asciiTheme="majorBidi" w:hAnsiTheme="majorBidi" w:cstheme="majorBidi"/>
        </w:rPr>
        <w:t xml:space="preserve"> found some </w:t>
      </w:r>
      <w:r w:rsidRPr="00AC765E">
        <w:rPr>
          <w:rFonts w:asciiTheme="majorBidi" w:hAnsiTheme="majorBidi" w:cstheme="majorBidi"/>
        </w:rPr>
        <w:t>statistically significant differences between the two groups,</w:t>
      </w:r>
      <w:r>
        <w:rPr>
          <w:rFonts w:asciiTheme="majorBidi" w:hAnsiTheme="majorBidi" w:cstheme="majorBidi"/>
        </w:rPr>
        <w:t xml:space="preserve"> industry membership was an important determinant of whether a firm switched to capitalization. The importance of industry membership was confirmed by our analysis of the non-switchers’ R&amp;D footnotes, as firms in particular industries (e.g., Healthcare) explicitly mentioned that their development expenditures did not meet the capitalization conditions. </w:t>
      </w:r>
    </w:p>
  </w:footnote>
  <w:footnote w:id="12">
    <w:p w14:paraId="26ADBF58" w14:textId="521FF858" w:rsidR="005F3FDF" w:rsidRDefault="005F3FDF" w:rsidP="009374DB">
      <w:pPr>
        <w:pStyle w:val="FootnoteText"/>
        <w:jc w:val="both"/>
      </w:pPr>
      <w:r w:rsidRPr="00384828">
        <w:rPr>
          <w:rStyle w:val="FootnoteReference"/>
          <w:rFonts w:asciiTheme="majorBidi" w:hAnsiTheme="majorBidi" w:cstheme="majorBidi"/>
        </w:rPr>
        <w:footnoteRef/>
      </w:r>
      <w:r w:rsidRPr="00384828">
        <w:rPr>
          <w:rFonts w:asciiTheme="majorBidi" w:hAnsiTheme="majorBidi" w:cstheme="majorBidi"/>
        </w:rPr>
        <w:t xml:space="preserve"> Another related paper is Miller and Rock (1985). Although their signaling mechanism</w:t>
      </w:r>
      <w:r>
        <w:rPr>
          <w:rFonts w:asciiTheme="majorBidi" w:hAnsiTheme="majorBidi" w:cstheme="majorBidi"/>
        </w:rPr>
        <w:t xml:space="preserve"> is</w:t>
      </w:r>
      <w:r w:rsidRPr="00384828">
        <w:rPr>
          <w:rFonts w:asciiTheme="majorBidi" w:hAnsiTheme="majorBidi" w:cstheme="majorBidi"/>
        </w:rPr>
        <w:t xml:space="preserve"> dividends, </w:t>
      </w:r>
      <w:r>
        <w:rPr>
          <w:rFonts w:asciiTheme="majorBidi" w:hAnsiTheme="majorBidi" w:cstheme="majorBidi"/>
        </w:rPr>
        <w:t>not conservative accounting, in both their paper and ours the need to signal results in lower investment.</w:t>
      </w:r>
    </w:p>
  </w:footnote>
  <w:footnote w:id="13">
    <w:p w14:paraId="149B70AD" w14:textId="54B5E371" w:rsidR="005F3FDF" w:rsidRDefault="005F3FDF" w:rsidP="009374DB">
      <w:pPr>
        <w:pStyle w:val="FootnoteText"/>
        <w:jc w:val="both"/>
      </w:pPr>
      <w:r w:rsidRPr="00511992">
        <w:rPr>
          <w:rStyle w:val="FootnoteReference"/>
          <w:rFonts w:ascii="Times New Roman" w:hAnsi="Times New Roman" w:cs="Times New Roman"/>
        </w:rPr>
        <w:footnoteRef/>
      </w:r>
      <w:r>
        <w:t xml:space="preserve"> </w:t>
      </w:r>
      <w:r>
        <w:rPr>
          <w:rFonts w:ascii="Times New Roman" w:hAnsi="Times New Roman" w:cs="Times New Roman"/>
        </w:rPr>
        <w:t>T</w:t>
      </w:r>
      <w:r w:rsidRPr="00362DA4">
        <w:rPr>
          <w:rFonts w:ascii="Times New Roman" w:hAnsi="Times New Roman" w:cs="Times New Roman"/>
        </w:rPr>
        <w:t xml:space="preserve">hose sent to the ASC </w:t>
      </w:r>
      <w:r w:rsidRPr="00FC0FF6">
        <w:rPr>
          <w:rFonts w:ascii="Times New Roman" w:hAnsi="Times New Roman" w:cs="Times New Roman"/>
        </w:rPr>
        <w:t>related to the following two exposure drafts: (1) ED</w:t>
      </w:r>
      <w:r>
        <w:rPr>
          <w:rFonts w:ascii="Times New Roman" w:hAnsi="Times New Roman" w:cs="Times New Roman"/>
        </w:rPr>
        <w:t xml:space="preserve"> </w:t>
      </w:r>
      <w:r w:rsidRPr="00FC0FF6">
        <w:rPr>
          <w:rFonts w:ascii="Times New Roman" w:hAnsi="Times New Roman" w:cs="Times New Roman"/>
        </w:rPr>
        <w:t xml:space="preserve">14 – Accounting </w:t>
      </w:r>
      <w:r>
        <w:rPr>
          <w:rFonts w:ascii="Times New Roman" w:hAnsi="Times New Roman" w:cs="Times New Roman"/>
        </w:rPr>
        <w:t>f</w:t>
      </w:r>
      <w:r w:rsidRPr="00FC0FF6">
        <w:rPr>
          <w:rFonts w:ascii="Times New Roman" w:hAnsi="Times New Roman" w:cs="Times New Roman"/>
        </w:rPr>
        <w:t>or Research and Development (1975), and (2) ED</w:t>
      </w:r>
      <w:r>
        <w:rPr>
          <w:rFonts w:ascii="Times New Roman" w:hAnsi="Times New Roman" w:cs="Times New Roman"/>
        </w:rPr>
        <w:t xml:space="preserve"> </w:t>
      </w:r>
      <w:r w:rsidRPr="00FC0FF6">
        <w:rPr>
          <w:rFonts w:ascii="Times New Roman" w:hAnsi="Times New Roman" w:cs="Times New Roman"/>
        </w:rPr>
        <w:t xml:space="preserve">17 – Accounting for Research and Development – Revised (1976).  </w:t>
      </w:r>
      <w:r>
        <w:rPr>
          <w:rFonts w:ascii="Times New Roman" w:hAnsi="Times New Roman" w:cs="Times New Roman"/>
        </w:rPr>
        <w:t xml:space="preserve">ED 14 proposed immediate expensing, whereas ED 17 proposed mandatory capitalization.  </w:t>
      </w:r>
      <w:r w:rsidRPr="00FC0FF6">
        <w:rPr>
          <w:rFonts w:ascii="Times New Roman" w:hAnsi="Times New Roman" w:cs="Times New Roman"/>
        </w:rPr>
        <w:t>Those sent to the IASC related to following two exposure drafts: (1) ED</w:t>
      </w:r>
      <w:r>
        <w:rPr>
          <w:rFonts w:ascii="Times New Roman" w:hAnsi="Times New Roman" w:cs="Times New Roman"/>
        </w:rPr>
        <w:t xml:space="preserve"> </w:t>
      </w:r>
      <w:r w:rsidRPr="00FC0FF6">
        <w:rPr>
          <w:rFonts w:ascii="Times New Roman" w:hAnsi="Times New Roman" w:cs="Times New Roman"/>
        </w:rPr>
        <w:t>37 – International Accounting Standards Proposed Statement – Research and Development Activities (1991), and (2) ED</w:t>
      </w:r>
      <w:r>
        <w:rPr>
          <w:rFonts w:ascii="Times New Roman" w:hAnsi="Times New Roman" w:cs="Times New Roman"/>
        </w:rPr>
        <w:t xml:space="preserve"> </w:t>
      </w:r>
      <w:r w:rsidRPr="00FC0FF6">
        <w:rPr>
          <w:rFonts w:ascii="Times New Roman" w:hAnsi="Times New Roman" w:cs="Times New Roman"/>
        </w:rPr>
        <w:t>60 – Proposed International Accounting Standard – Intangible Assets (1997).</w:t>
      </w:r>
      <w:r>
        <w:rPr>
          <w:rFonts w:ascii="Times New Roman" w:hAnsi="Times New Roman" w:cs="Times New Roman"/>
        </w:rPr>
        <w:t xml:space="preserve">  ED 37 also proposed mandatory capitalization. ED 60 was soliciting opinions on three possible options including immediate expensing, the option to capitalize and mandatory capitalization.    </w:t>
      </w:r>
    </w:p>
  </w:footnote>
  <w:footnote w:id="14">
    <w:p w14:paraId="22E4C6EB" w14:textId="64A560DB" w:rsidR="005F3FDF" w:rsidRPr="00FD1B56" w:rsidRDefault="005F3FDF" w:rsidP="009374DB">
      <w:pPr>
        <w:pStyle w:val="FootnoteText"/>
        <w:jc w:val="both"/>
        <w:rPr>
          <w:rFonts w:asciiTheme="majorBidi" w:hAnsiTheme="majorBidi" w:cstheme="majorBidi"/>
        </w:rPr>
      </w:pPr>
      <w:r w:rsidRPr="00FD1B56">
        <w:rPr>
          <w:rStyle w:val="FootnoteReference"/>
          <w:rFonts w:asciiTheme="majorBidi" w:hAnsiTheme="majorBidi" w:cstheme="majorBidi"/>
        </w:rPr>
        <w:footnoteRef/>
      </w:r>
      <w:r w:rsidRPr="00FD1B56">
        <w:rPr>
          <w:rFonts w:asciiTheme="majorBidi" w:hAnsiTheme="majorBidi" w:cstheme="majorBidi"/>
        </w:rPr>
        <w:t xml:space="preserve"> Although their dividend signaling mechanism is different from ours (see footnote 1</w:t>
      </w:r>
      <w:r>
        <w:rPr>
          <w:rFonts w:asciiTheme="majorBidi" w:hAnsiTheme="majorBidi" w:cstheme="majorBidi"/>
        </w:rPr>
        <w:t>2</w:t>
      </w:r>
      <w:r w:rsidRPr="00FD1B56">
        <w:rPr>
          <w:rFonts w:asciiTheme="majorBidi" w:hAnsiTheme="majorBidi" w:cstheme="majorBidi"/>
        </w:rPr>
        <w:t>), this switching evidence is consistent with Miller and Rock (1985), who state: “the best evidence to look for dividend signaling may well be among firms falling into adversity, not because they then start signaling, but because they stop (pg. 1046).</w:t>
      </w:r>
    </w:p>
  </w:footnote>
  <w:footnote w:id="15">
    <w:p w14:paraId="41D5A375" w14:textId="768FE848" w:rsidR="005F3FDF" w:rsidRPr="00D7135A" w:rsidRDefault="005F3FDF" w:rsidP="009374DB">
      <w:pPr>
        <w:spacing w:after="0"/>
        <w:jc w:val="both"/>
        <w:rPr>
          <w:rFonts w:asciiTheme="majorBidi" w:hAnsiTheme="majorBidi" w:cstheme="majorBidi"/>
          <w:sz w:val="24"/>
          <w:szCs w:val="24"/>
        </w:rPr>
      </w:pPr>
      <w:r w:rsidRPr="00D7135A">
        <w:rPr>
          <w:rStyle w:val="FootnoteReference"/>
          <w:rFonts w:asciiTheme="majorBidi" w:hAnsiTheme="majorBidi" w:cstheme="majorBidi"/>
          <w:sz w:val="20"/>
          <w:szCs w:val="20"/>
        </w:rPr>
        <w:footnoteRef/>
      </w:r>
      <w:r w:rsidRPr="00D7135A">
        <w:rPr>
          <w:rFonts w:asciiTheme="majorBidi" w:hAnsiTheme="majorBidi" w:cstheme="majorBidi"/>
          <w:sz w:val="20"/>
          <w:szCs w:val="20"/>
        </w:rPr>
        <w:t xml:space="preserve"> As-if expense earnings equals reported earnings minus R&amp;D capitalized in the year plus R&amp;D amortized in the year.  As-if expense book value of equity (assets) equals reported book value of equity (assets) minus the net R&amp;D asset.</w:t>
      </w:r>
      <w:r w:rsidRPr="00D7135A">
        <w:rPr>
          <w:rFonts w:asciiTheme="majorBidi" w:hAnsiTheme="majorBidi" w:cstheme="majorBidi"/>
          <w:sz w:val="24"/>
          <w:szCs w:val="24"/>
        </w:rPr>
        <w:t xml:space="preserve"> </w:t>
      </w:r>
    </w:p>
  </w:footnote>
  <w:footnote w:id="16">
    <w:p w14:paraId="70F88093" w14:textId="49CC1CE4" w:rsidR="005F3FDF" w:rsidRPr="00BC75FD" w:rsidRDefault="005F3FDF" w:rsidP="0049330D">
      <w:pPr>
        <w:pStyle w:val="FootnoteText"/>
        <w:jc w:val="both"/>
        <w:rPr>
          <w:rFonts w:ascii="Times New Roman" w:hAnsi="Times New Roman" w:cs="Times New Roman"/>
        </w:rPr>
      </w:pPr>
      <w:r w:rsidRPr="00BC75FD">
        <w:rPr>
          <w:rStyle w:val="FootnoteReference"/>
          <w:rFonts w:ascii="Times New Roman" w:hAnsi="Times New Roman" w:cs="Times New Roman"/>
        </w:rPr>
        <w:footnoteRef/>
      </w:r>
      <w:r>
        <w:rPr>
          <w:rFonts w:ascii="Times New Roman" w:hAnsi="Times New Roman" w:cs="Times New Roman"/>
        </w:rPr>
        <w:t xml:space="preserve"> In the first year of using IFRS, firms were required to report comparative financial statements on an as-if IFRS basis for the prior year (i.e., the last year under UK GAAP). From these disclosures we are able to determine Expensers CAP% for the last year under UK GAAP. </w:t>
      </w:r>
      <w:r w:rsidRPr="00BC75FD">
        <w:rPr>
          <w:rFonts w:ascii="Times New Roman" w:hAnsi="Times New Roman" w:cs="Times New Roman"/>
        </w:rPr>
        <w:t xml:space="preserve">Since we have </w:t>
      </w:r>
      <w:r>
        <w:rPr>
          <w:rFonts w:ascii="Times New Roman" w:hAnsi="Times New Roman" w:cs="Times New Roman"/>
        </w:rPr>
        <w:t xml:space="preserve">CAP% for </w:t>
      </w:r>
      <w:r w:rsidRPr="00BC75FD">
        <w:rPr>
          <w:rFonts w:ascii="Times New Roman" w:hAnsi="Times New Roman" w:cs="Times New Roman"/>
        </w:rPr>
        <w:t>only th</w:t>
      </w:r>
      <w:r>
        <w:rPr>
          <w:rFonts w:ascii="Times New Roman" w:hAnsi="Times New Roman" w:cs="Times New Roman"/>
        </w:rPr>
        <w:t xml:space="preserve">is year, </w:t>
      </w:r>
      <w:r w:rsidRPr="00BC75FD">
        <w:rPr>
          <w:rFonts w:ascii="Times New Roman" w:hAnsi="Times New Roman" w:cs="Times New Roman"/>
        </w:rPr>
        <w:t>we assumed th</w:t>
      </w:r>
      <w:r>
        <w:rPr>
          <w:rFonts w:ascii="Times New Roman" w:hAnsi="Times New Roman" w:cs="Times New Roman"/>
        </w:rPr>
        <w:t>e</w:t>
      </w:r>
      <w:r w:rsidRPr="00BC75FD">
        <w:rPr>
          <w:rFonts w:ascii="Times New Roman" w:hAnsi="Times New Roman" w:cs="Times New Roman"/>
        </w:rPr>
        <w:t xml:space="preserve"> </w:t>
      </w:r>
      <w:r>
        <w:rPr>
          <w:rFonts w:ascii="Times New Roman" w:hAnsi="Times New Roman" w:cs="Times New Roman"/>
        </w:rPr>
        <w:t xml:space="preserve">same </w:t>
      </w:r>
      <w:r w:rsidRPr="00BC75FD">
        <w:rPr>
          <w:rFonts w:ascii="Times New Roman" w:hAnsi="Times New Roman" w:cs="Times New Roman"/>
        </w:rPr>
        <w:t>percentage for all years. To validate this assumption, we examined the behavior of CAP%, and found that it varies very little over ti</w:t>
      </w:r>
      <w:r>
        <w:rPr>
          <w:rFonts w:ascii="Times New Roman" w:hAnsi="Times New Roman" w:cs="Times New Roman"/>
        </w:rPr>
        <w:t>m</w:t>
      </w:r>
      <w:r w:rsidRPr="00BC75FD">
        <w:rPr>
          <w:rFonts w:ascii="Times New Roman" w:hAnsi="Times New Roman" w:cs="Times New Roman"/>
        </w:rPr>
        <w:t>e for a given firm.</w:t>
      </w:r>
      <w:r>
        <w:rPr>
          <w:rFonts w:ascii="Times New Roman" w:hAnsi="Times New Roman" w:cs="Times New Roman"/>
        </w:rPr>
        <w:t xml:space="preserve"> </w:t>
      </w:r>
      <w:r w:rsidRPr="00E16C44">
        <w:rPr>
          <w:rFonts w:ascii="Times New Roman" w:hAnsi="Times New Roman" w:cs="Times New Roman"/>
        </w:rPr>
        <w:t xml:space="preserve">Note that </w:t>
      </w:r>
      <w:r>
        <w:rPr>
          <w:rFonts w:ascii="Times New Roman" w:hAnsi="Times New Roman" w:cs="Times New Roman"/>
        </w:rPr>
        <w:t xml:space="preserve">since we use expensers’ pro-forma CAP% in (2), </w:t>
      </w:r>
      <w:r w:rsidRPr="00E16C44">
        <w:rPr>
          <w:rFonts w:ascii="Times New Roman" w:hAnsi="Times New Roman" w:cs="Times New Roman"/>
        </w:rPr>
        <w:t>the positive coefficie</w:t>
      </w:r>
      <w:r>
        <w:rPr>
          <w:rFonts w:ascii="Times New Roman" w:hAnsi="Times New Roman" w:cs="Times New Roman"/>
        </w:rPr>
        <w:t>nt on CAP% is not tautological</w:t>
      </w:r>
      <w:r w:rsidRPr="00E16C44">
        <w:rPr>
          <w:rFonts w:ascii="Times New Roman" w:hAnsi="Times New Roman" w:cs="Times New Roman"/>
        </w:rPr>
        <w:t>.</w:t>
      </w:r>
    </w:p>
  </w:footnote>
  <w:footnote w:id="17">
    <w:p w14:paraId="0ED13483" w14:textId="6BA03EFD" w:rsidR="005F3FDF" w:rsidRPr="005C2F55" w:rsidRDefault="005F3FDF" w:rsidP="00D36E89">
      <w:pPr>
        <w:pStyle w:val="FootnoteText"/>
        <w:jc w:val="both"/>
      </w:pPr>
      <w:r w:rsidRPr="00010004">
        <w:rPr>
          <w:rStyle w:val="FootnoteReference"/>
          <w:rFonts w:ascii="Times New Roman" w:hAnsi="Times New Roman" w:cs="Times New Roman"/>
        </w:rPr>
        <w:footnoteRef/>
      </w:r>
      <w:r w:rsidRPr="00010004">
        <w:rPr>
          <w:rFonts w:ascii="Times New Roman" w:hAnsi="Times New Roman" w:cs="Times New Roman"/>
        </w:rPr>
        <w:t xml:space="preserve"> </w:t>
      </w:r>
      <w:bookmarkStart w:id="2" w:name="_Hlk26435864"/>
      <w:r w:rsidRPr="005C2F55">
        <w:rPr>
          <w:rFonts w:ascii="Times New Roman" w:hAnsi="Times New Roman" w:cs="Times New Roman"/>
        </w:rPr>
        <w:t>Note that year -4 is dropped because of collinearity</w:t>
      </w:r>
      <w:r>
        <w:rPr>
          <w:rFonts w:ascii="Times New Roman" w:hAnsi="Times New Roman" w:cs="Times New Roman"/>
        </w:rPr>
        <w:t>, and that t</w:t>
      </w:r>
      <w:r w:rsidRPr="00A331C7">
        <w:rPr>
          <w:rFonts w:ascii="Times New Roman" w:hAnsi="Times New Roman" w:cs="Times New Roman"/>
        </w:rPr>
        <w:t xml:space="preserve">he number of observations differs </w:t>
      </w:r>
      <w:r>
        <w:rPr>
          <w:rFonts w:ascii="Times New Roman" w:hAnsi="Times New Roman" w:cs="Times New Roman"/>
        </w:rPr>
        <w:t xml:space="preserve">slightly </w:t>
      </w:r>
      <w:r w:rsidRPr="00A331C7">
        <w:rPr>
          <w:rFonts w:ascii="Times New Roman" w:hAnsi="Times New Roman" w:cs="Times New Roman"/>
        </w:rPr>
        <w:t>per regression, due to the differing data requirements.</w:t>
      </w:r>
      <w:r w:rsidRPr="005C2F55">
        <w:rPr>
          <w:rFonts w:ascii="Times New Roman" w:hAnsi="Times New Roman" w:cs="Times New Roman"/>
        </w:rPr>
        <w:t xml:space="preserve"> </w:t>
      </w:r>
    </w:p>
    <w:bookmarkEnd w:id="2"/>
  </w:footnote>
  <w:footnote w:id="18">
    <w:p w14:paraId="610CCBB9" w14:textId="78812E96" w:rsidR="005F3FDF" w:rsidRDefault="005F3FDF" w:rsidP="00290C46">
      <w:pPr>
        <w:pStyle w:val="FootnoteText"/>
      </w:pPr>
      <w:r>
        <w:rPr>
          <w:rStyle w:val="FootnoteReference"/>
        </w:rPr>
        <w:footnoteRef/>
      </w:r>
      <w:r>
        <w:t xml:space="preserve"> </w:t>
      </w:r>
      <w:r w:rsidRPr="00F4129E">
        <w:rPr>
          <w:rFonts w:asciiTheme="majorBidi" w:hAnsiTheme="majorBidi" w:cstheme="majorBidi"/>
          <w:color w:val="222222"/>
          <w:shd w:val="clear" w:color="auto" w:fill="FFFFFF"/>
        </w:rPr>
        <w:t xml:space="preserve">We have also estimated our tests in Table 6 winsorizing at (1.5%, 2.5%) at the bottom and top, respectively. </w:t>
      </w:r>
      <w:r w:rsidR="003C66D0">
        <w:rPr>
          <w:rFonts w:asciiTheme="majorBidi" w:hAnsiTheme="majorBidi" w:cstheme="majorBidi"/>
          <w:color w:val="222222"/>
          <w:shd w:val="clear" w:color="auto" w:fill="FFFFFF"/>
        </w:rPr>
        <w:t>D</w:t>
      </w:r>
      <w:r w:rsidRPr="00F4129E">
        <w:rPr>
          <w:rFonts w:asciiTheme="majorBidi" w:hAnsiTheme="majorBidi" w:cstheme="majorBidi"/>
          <w:color w:val="222222"/>
          <w:shd w:val="clear" w:color="auto" w:fill="FFFFFF"/>
        </w:rPr>
        <w:t>ue to large outliers at the top of the distribution, when we winsorize at less than 2.5% at the top, the SWITCH*IFRS year coefficient is not always significant for all three R&amp;D metrics.</w:t>
      </w:r>
    </w:p>
  </w:footnote>
  <w:footnote w:id="19">
    <w:p w14:paraId="45A4F0C0" w14:textId="77777777" w:rsidR="005F3FDF" w:rsidRPr="00391AD2" w:rsidRDefault="005F3FDF" w:rsidP="00D36E89">
      <w:pPr>
        <w:pStyle w:val="FootnoteText"/>
        <w:contextualSpacing/>
        <w:jc w:val="both"/>
        <w:rPr>
          <w:rFonts w:ascii="Times New Roman" w:hAnsi="Times New Roman" w:cs="Times New Roman"/>
        </w:rPr>
      </w:pPr>
      <w:r w:rsidRPr="00391AD2">
        <w:rPr>
          <w:rStyle w:val="FootnoteReference"/>
          <w:rFonts w:ascii="Times New Roman" w:hAnsi="Times New Roman" w:cs="Times New Roman"/>
        </w:rPr>
        <w:footnoteRef/>
      </w:r>
      <w:r w:rsidRPr="00391AD2">
        <w:rPr>
          <w:rFonts w:ascii="Times New Roman" w:hAnsi="Times New Roman" w:cs="Times New Roman"/>
        </w:rPr>
        <w:t xml:space="preserve"> </w:t>
      </w:r>
      <w:r w:rsidRPr="00391AD2">
        <w:rPr>
          <w:rFonts w:ascii="Times New Roman" w:eastAsia="Times New Roman" w:hAnsi="Times New Roman" w:cs="Times New Roman"/>
        </w:rPr>
        <w:t xml:space="preserve">Horowitz and Kolodny (1980) </w:t>
      </w:r>
      <w:r>
        <w:rPr>
          <w:rFonts w:ascii="Times New Roman" w:eastAsia="Times New Roman" w:hAnsi="Times New Roman" w:cs="Times New Roman"/>
        </w:rPr>
        <w:t xml:space="preserve">document that </w:t>
      </w:r>
      <w:r w:rsidRPr="00391AD2">
        <w:rPr>
          <w:rFonts w:ascii="Times New Roman" w:eastAsia="Times New Roman" w:hAnsi="Times New Roman" w:cs="Times New Roman"/>
        </w:rPr>
        <w:t xml:space="preserve">firms that were capitalizing prior to SFAS 2, </w:t>
      </w:r>
      <w:r>
        <w:rPr>
          <w:rFonts w:ascii="Times New Roman" w:eastAsia="Times New Roman" w:hAnsi="Times New Roman" w:cs="Times New Roman"/>
        </w:rPr>
        <w:t xml:space="preserve">have approximately a </w:t>
      </w:r>
      <w:r w:rsidRPr="00391AD2">
        <w:rPr>
          <w:rFonts w:ascii="Times New Roman" w:eastAsia="Times New Roman" w:hAnsi="Times New Roman" w:cs="Times New Roman"/>
        </w:rPr>
        <w:t>1.5% decrease in their R&amp;D/Sales, whereas firm</w:t>
      </w:r>
      <w:r w:rsidRPr="00396BD8">
        <w:rPr>
          <w:rFonts w:ascii="Times New Roman" w:eastAsia="Times New Roman" w:hAnsi="Times New Roman" w:cs="Times New Roman"/>
        </w:rPr>
        <w:t>s that were expensing have approximately</w:t>
      </w:r>
      <w:r w:rsidRPr="00391AD2">
        <w:rPr>
          <w:rFonts w:ascii="Times New Roman" w:eastAsia="Times New Roman" w:hAnsi="Times New Roman" w:cs="Times New Roman"/>
        </w:rPr>
        <w:t xml:space="preserve"> a 1% increase in R&amp;D</w:t>
      </w:r>
      <w:r w:rsidRPr="00396BD8">
        <w:rPr>
          <w:rFonts w:ascii="Times New Roman" w:eastAsia="Times New Roman" w:hAnsi="Times New Roman" w:cs="Times New Roman"/>
        </w:rPr>
        <w:t>/Sales. This difference of approximately</w:t>
      </w:r>
      <w:r w:rsidRPr="00391AD2">
        <w:rPr>
          <w:rFonts w:ascii="Times New Roman" w:eastAsia="Times New Roman" w:hAnsi="Times New Roman" w:cs="Times New Roman"/>
        </w:rPr>
        <w:t xml:space="preserve"> 2.5% is consistent in both magnitude and direction with our coefficient estimates of 3%</w:t>
      </w:r>
      <w:r>
        <w:rPr>
          <w:rFonts w:ascii="Times New Roman" w:eastAsia="Times New Roman" w:hAnsi="Times New Roman" w:cs="Times New Roman"/>
        </w:rPr>
        <w:t>.</w:t>
      </w:r>
    </w:p>
  </w:footnote>
  <w:footnote w:id="20">
    <w:p w14:paraId="64580761" w14:textId="41F4AF8F" w:rsidR="005F3FDF" w:rsidRPr="007C14B9" w:rsidRDefault="005F3FDF" w:rsidP="000A1FE5">
      <w:pPr>
        <w:spacing w:after="0" w:line="240" w:lineRule="auto"/>
        <w:contextualSpacing/>
        <w:jc w:val="both"/>
        <w:rPr>
          <w:rFonts w:ascii="Times New Roman" w:hAnsi="Times New Roman" w:cs="Times New Roman"/>
          <w:sz w:val="20"/>
          <w:szCs w:val="20"/>
        </w:rPr>
      </w:pPr>
      <w:r w:rsidRPr="007C14B9">
        <w:rPr>
          <w:rStyle w:val="FootnoteReference"/>
          <w:rFonts w:ascii="Times New Roman" w:hAnsi="Times New Roman" w:cs="Times New Roman"/>
        </w:rPr>
        <w:footnoteRef/>
      </w:r>
      <w:r w:rsidRPr="00877300">
        <w:rPr>
          <w:rFonts w:ascii="Times New Roman" w:hAnsi="Times New Roman" w:cs="Times New Roman"/>
          <w:sz w:val="20"/>
          <w:szCs w:val="20"/>
        </w:rPr>
        <w:t>As per Christensen</w:t>
      </w:r>
      <w:r>
        <w:rPr>
          <w:rFonts w:ascii="Times New Roman" w:hAnsi="Times New Roman" w:cs="Times New Roman"/>
          <w:sz w:val="20"/>
          <w:szCs w:val="20"/>
        </w:rPr>
        <w:t>, Hail and Leuz</w:t>
      </w:r>
      <w:r w:rsidRPr="00877300">
        <w:rPr>
          <w:rFonts w:ascii="Times New Roman" w:hAnsi="Times New Roman" w:cs="Times New Roman"/>
          <w:sz w:val="20"/>
          <w:szCs w:val="20"/>
        </w:rPr>
        <w:t xml:space="preserve"> (2017), w</w:t>
      </w:r>
      <w:r w:rsidRPr="005A46E8">
        <w:rPr>
          <w:rFonts w:ascii="Times New Roman" w:hAnsi="Times New Roman" w:cs="Times New Roman"/>
          <w:sz w:val="20"/>
          <w:szCs w:val="20"/>
        </w:rPr>
        <w:t xml:space="preserve">e also estimated a trend regression with both linear and quadratic terms over the 1991-2004 </w:t>
      </w:r>
      <w:r w:rsidRPr="0050224F">
        <w:rPr>
          <w:rFonts w:ascii="Times New Roman" w:hAnsi="Times New Roman" w:cs="Times New Roman"/>
          <w:sz w:val="20"/>
          <w:szCs w:val="20"/>
        </w:rPr>
        <w:t xml:space="preserve">and 1998-2004 </w:t>
      </w:r>
      <w:r w:rsidRPr="007C14B9">
        <w:rPr>
          <w:rFonts w:ascii="Times New Roman" w:hAnsi="Times New Roman" w:cs="Times New Roman"/>
          <w:sz w:val="20"/>
          <w:szCs w:val="20"/>
        </w:rPr>
        <w:t xml:space="preserve">periods for each dependent variable: R&amp;D Growth = </w:t>
      </w:r>
      <w:r>
        <w:rPr>
          <w:rFonts w:ascii="Times New Roman" w:hAnsi="Times New Roman" w:cs="Times New Roman"/>
          <w:sz w:val="20"/>
          <w:szCs w:val="20"/>
        </w:rPr>
        <w:t>β</w:t>
      </w:r>
      <w:r w:rsidRPr="00A331C7">
        <w:rPr>
          <w:rFonts w:ascii="Times New Roman" w:hAnsi="Times New Roman" w:cs="Times New Roman"/>
          <w:sz w:val="20"/>
          <w:szCs w:val="20"/>
          <w:vertAlign w:val="subscript"/>
        </w:rPr>
        <w:t>1</w:t>
      </w:r>
      <w:r w:rsidRPr="007C14B9">
        <w:rPr>
          <w:rFonts w:ascii="Times New Roman" w:hAnsi="Times New Roman" w:cs="Times New Roman"/>
          <w:sz w:val="20"/>
          <w:szCs w:val="20"/>
          <w:vertAlign w:val="subscript"/>
        </w:rPr>
        <w:t xml:space="preserve"> </w:t>
      </w:r>
      <w:r w:rsidRPr="00877300">
        <w:rPr>
          <w:rFonts w:ascii="Times New Roman" w:hAnsi="Times New Roman" w:cs="Times New Roman"/>
          <w:sz w:val="20"/>
          <w:szCs w:val="20"/>
        </w:rPr>
        <w:t xml:space="preserve">+ </w:t>
      </w:r>
      <w:r>
        <w:rPr>
          <w:rFonts w:ascii="Times New Roman" w:hAnsi="Times New Roman" w:cs="Times New Roman"/>
          <w:sz w:val="20"/>
          <w:szCs w:val="20"/>
        </w:rPr>
        <w:t>β</w:t>
      </w:r>
      <w:r>
        <w:rPr>
          <w:rFonts w:ascii="Times New Roman" w:hAnsi="Times New Roman" w:cs="Times New Roman"/>
          <w:sz w:val="20"/>
          <w:szCs w:val="20"/>
          <w:vertAlign w:val="subscript"/>
        </w:rPr>
        <w:t>2</w:t>
      </w:r>
      <w:r w:rsidRPr="007C14B9">
        <w:rPr>
          <w:rFonts w:ascii="Times New Roman" w:hAnsi="Times New Roman" w:cs="Times New Roman"/>
          <w:sz w:val="20"/>
          <w:szCs w:val="20"/>
        </w:rPr>
        <w:t xml:space="preserve">TREND </w:t>
      </w:r>
      <w:r w:rsidRPr="00877300">
        <w:rPr>
          <w:rFonts w:ascii="Times New Roman" w:hAnsi="Times New Roman" w:cs="Times New Roman"/>
          <w:sz w:val="20"/>
          <w:szCs w:val="20"/>
        </w:rPr>
        <w:t xml:space="preserve">+ </w:t>
      </w:r>
      <w:r>
        <w:rPr>
          <w:rFonts w:ascii="Times New Roman" w:hAnsi="Times New Roman" w:cs="Times New Roman"/>
          <w:sz w:val="20"/>
          <w:szCs w:val="20"/>
        </w:rPr>
        <w:t>β</w:t>
      </w:r>
      <w:r>
        <w:rPr>
          <w:rFonts w:ascii="Times New Roman" w:hAnsi="Times New Roman" w:cs="Times New Roman"/>
          <w:sz w:val="20"/>
          <w:szCs w:val="20"/>
          <w:vertAlign w:val="subscript"/>
        </w:rPr>
        <w:t>3</w:t>
      </w:r>
      <w:r w:rsidRPr="007C14B9">
        <w:rPr>
          <w:rFonts w:ascii="Times New Roman" w:hAnsi="Times New Roman" w:cs="Times New Roman"/>
          <w:sz w:val="20"/>
          <w:szCs w:val="20"/>
        </w:rPr>
        <w:t>TREND</w:t>
      </w:r>
      <w:r w:rsidRPr="00877300">
        <w:rPr>
          <w:rFonts w:ascii="Times New Roman" w:hAnsi="Times New Roman" w:cs="Times New Roman"/>
          <w:sz w:val="20"/>
          <w:szCs w:val="20"/>
          <w:vertAlign w:val="superscript"/>
        </w:rPr>
        <w:t>2</w:t>
      </w:r>
      <w:r w:rsidRPr="00877300">
        <w:rPr>
          <w:rFonts w:ascii="Times New Roman" w:hAnsi="Times New Roman" w:cs="Times New Roman"/>
          <w:sz w:val="20"/>
          <w:szCs w:val="20"/>
        </w:rPr>
        <w:t xml:space="preserve"> + </w:t>
      </w:r>
      <w:r>
        <w:rPr>
          <w:rFonts w:ascii="Times New Roman" w:hAnsi="Times New Roman" w:cs="Times New Roman"/>
          <w:sz w:val="20"/>
          <w:szCs w:val="20"/>
        </w:rPr>
        <w:t>β</w:t>
      </w:r>
      <w:r>
        <w:rPr>
          <w:rFonts w:ascii="Times New Roman" w:hAnsi="Times New Roman" w:cs="Times New Roman"/>
          <w:sz w:val="20"/>
          <w:szCs w:val="20"/>
          <w:vertAlign w:val="subscript"/>
        </w:rPr>
        <w:t>4</w:t>
      </w:r>
      <w:r w:rsidRPr="007C14B9">
        <w:rPr>
          <w:rFonts w:ascii="Times New Roman" w:hAnsi="Times New Roman" w:cs="Times New Roman"/>
          <w:sz w:val="20"/>
          <w:szCs w:val="20"/>
        </w:rPr>
        <w:t xml:space="preserve">SWITCH + </w:t>
      </w:r>
      <w:r>
        <w:rPr>
          <w:rFonts w:ascii="Times New Roman" w:hAnsi="Times New Roman" w:cs="Times New Roman"/>
          <w:sz w:val="20"/>
          <w:szCs w:val="20"/>
        </w:rPr>
        <w:t>β</w:t>
      </w:r>
      <w:r>
        <w:rPr>
          <w:rFonts w:ascii="Times New Roman" w:hAnsi="Times New Roman" w:cs="Times New Roman"/>
          <w:sz w:val="20"/>
          <w:szCs w:val="20"/>
          <w:vertAlign w:val="subscript"/>
        </w:rPr>
        <w:t>5</w:t>
      </w:r>
      <w:r w:rsidRPr="007C14B9">
        <w:rPr>
          <w:rFonts w:ascii="Times New Roman" w:hAnsi="Times New Roman" w:cs="Times New Roman"/>
          <w:sz w:val="20"/>
          <w:szCs w:val="20"/>
        </w:rPr>
        <w:t xml:space="preserve">SWITCH*TREND </w:t>
      </w:r>
      <w:r w:rsidRPr="00877300">
        <w:rPr>
          <w:rFonts w:ascii="Times New Roman" w:hAnsi="Times New Roman" w:cs="Times New Roman"/>
          <w:sz w:val="20"/>
          <w:szCs w:val="20"/>
        </w:rPr>
        <w:t xml:space="preserve">+ </w:t>
      </w:r>
      <w:r>
        <w:rPr>
          <w:rFonts w:ascii="Times New Roman" w:hAnsi="Times New Roman" w:cs="Times New Roman"/>
          <w:sz w:val="20"/>
          <w:szCs w:val="20"/>
        </w:rPr>
        <w:t>β</w:t>
      </w:r>
      <w:r>
        <w:rPr>
          <w:rFonts w:ascii="Times New Roman" w:hAnsi="Times New Roman" w:cs="Times New Roman"/>
          <w:sz w:val="20"/>
          <w:szCs w:val="20"/>
          <w:vertAlign w:val="subscript"/>
        </w:rPr>
        <w:t>6</w:t>
      </w:r>
      <w:r w:rsidRPr="007C14B9">
        <w:rPr>
          <w:rFonts w:ascii="Times New Roman" w:hAnsi="Times New Roman" w:cs="Times New Roman"/>
          <w:sz w:val="20"/>
          <w:szCs w:val="20"/>
        </w:rPr>
        <w:t>SWITCH*TREND</w:t>
      </w:r>
      <w:r w:rsidRPr="00877300">
        <w:rPr>
          <w:rFonts w:ascii="Times New Roman" w:hAnsi="Times New Roman" w:cs="Times New Roman"/>
          <w:sz w:val="20"/>
          <w:szCs w:val="20"/>
          <w:vertAlign w:val="superscript"/>
        </w:rPr>
        <w:t>2</w:t>
      </w:r>
      <w:r w:rsidRPr="00877300">
        <w:rPr>
          <w:rFonts w:ascii="Times New Roman" w:hAnsi="Times New Roman" w:cs="Times New Roman"/>
          <w:sz w:val="20"/>
          <w:szCs w:val="20"/>
        </w:rPr>
        <w:t xml:space="preserve"> + </w:t>
      </w:r>
      <w:r>
        <w:rPr>
          <w:rFonts w:ascii="Times New Roman" w:hAnsi="Times New Roman" w:cs="Times New Roman"/>
          <w:sz w:val="20"/>
          <w:szCs w:val="20"/>
        </w:rPr>
        <w:t>β</w:t>
      </w:r>
      <w:r>
        <w:rPr>
          <w:rFonts w:ascii="Times New Roman" w:hAnsi="Times New Roman" w:cs="Times New Roman"/>
          <w:sz w:val="20"/>
          <w:szCs w:val="20"/>
          <w:vertAlign w:val="subscript"/>
        </w:rPr>
        <w:t>7</w:t>
      </w:r>
      <w:r w:rsidRPr="00877300">
        <w:rPr>
          <w:rFonts w:ascii="Times New Roman" w:hAnsi="Times New Roman" w:cs="Times New Roman"/>
          <w:sz w:val="20"/>
          <w:szCs w:val="20"/>
        </w:rPr>
        <w:t xml:space="preserve">MVE + </w:t>
      </w:r>
      <w:r>
        <w:rPr>
          <w:rFonts w:ascii="Times New Roman" w:hAnsi="Times New Roman" w:cs="Times New Roman"/>
          <w:sz w:val="20"/>
          <w:szCs w:val="20"/>
        </w:rPr>
        <w:t>β</w:t>
      </w:r>
      <w:r>
        <w:rPr>
          <w:rFonts w:ascii="Times New Roman" w:hAnsi="Times New Roman" w:cs="Times New Roman"/>
          <w:sz w:val="20"/>
          <w:szCs w:val="20"/>
          <w:vertAlign w:val="subscript"/>
        </w:rPr>
        <w:t>8</w:t>
      </w:r>
      <w:r w:rsidRPr="00877300">
        <w:rPr>
          <w:rFonts w:ascii="Times New Roman" w:hAnsi="Times New Roman" w:cs="Times New Roman"/>
          <w:sz w:val="20"/>
          <w:szCs w:val="20"/>
        </w:rPr>
        <w:t xml:space="preserve">M/B + firm fixed effects + year fixed effects + </w:t>
      </w:r>
      <w:r>
        <w:rPr>
          <w:rFonts w:ascii="Times New Roman" w:hAnsi="Times New Roman" w:cs="Times New Roman"/>
          <w:sz w:val="20"/>
          <w:szCs w:val="20"/>
        </w:rPr>
        <w:t>ԑ</w:t>
      </w:r>
      <w:r w:rsidRPr="007C14B9">
        <w:rPr>
          <w:rFonts w:ascii="Times New Roman" w:hAnsi="Times New Roman" w:cs="Times New Roman"/>
          <w:sz w:val="20"/>
          <w:szCs w:val="20"/>
        </w:rPr>
        <w:t xml:space="preserve">; </w:t>
      </w:r>
      <w:r w:rsidRPr="00877300">
        <w:rPr>
          <w:rFonts w:ascii="Times New Roman" w:hAnsi="Times New Roman" w:cs="Times New Roman"/>
          <w:sz w:val="20"/>
          <w:szCs w:val="20"/>
        </w:rPr>
        <w:t xml:space="preserve">TREND is a linear time trend that equals year minus </w:t>
      </w:r>
      <w:r w:rsidRPr="005A46E8">
        <w:rPr>
          <w:rFonts w:ascii="Times New Roman" w:hAnsi="Times New Roman" w:cs="Times New Roman"/>
          <w:sz w:val="20"/>
          <w:szCs w:val="20"/>
        </w:rPr>
        <w:t xml:space="preserve">1991 or year minus 1998. The results, not reported in the interest of brevity, show insignificant coefficients on </w:t>
      </w:r>
      <w:r>
        <w:rPr>
          <w:rFonts w:ascii="Times New Roman" w:hAnsi="Times New Roman" w:cs="Times New Roman"/>
          <w:sz w:val="20"/>
          <w:szCs w:val="20"/>
        </w:rPr>
        <w:t>SWITCH*</w:t>
      </w:r>
      <w:r w:rsidRPr="005A46E8">
        <w:rPr>
          <w:rFonts w:ascii="Times New Roman" w:hAnsi="Times New Roman" w:cs="Times New Roman"/>
          <w:sz w:val="20"/>
          <w:szCs w:val="20"/>
        </w:rPr>
        <w:t xml:space="preserve">TREND </w:t>
      </w:r>
      <w:r w:rsidRPr="0050224F">
        <w:rPr>
          <w:rFonts w:ascii="Times New Roman" w:hAnsi="Times New Roman" w:cs="Times New Roman"/>
          <w:sz w:val="20"/>
          <w:szCs w:val="20"/>
        </w:rPr>
        <w:t xml:space="preserve">and </w:t>
      </w:r>
      <w:r>
        <w:rPr>
          <w:rFonts w:ascii="Times New Roman" w:hAnsi="Times New Roman" w:cs="Times New Roman"/>
          <w:sz w:val="20"/>
          <w:szCs w:val="20"/>
        </w:rPr>
        <w:t>SWITCH*</w:t>
      </w:r>
      <w:r w:rsidRPr="007C14B9">
        <w:rPr>
          <w:rFonts w:ascii="Times New Roman" w:hAnsi="Times New Roman" w:cs="Times New Roman"/>
          <w:sz w:val="20"/>
          <w:szCs w:val="20"/>
        </w:rPr>
        <w:t>TREND</w:t>
      </w:r>
      <w:r w:rsidRPr="007C14B9">
        <w:rPr>
          <w:rFonts w:ascii="Times New Roman" w:hAnsi="Times New Roman" w:cs="Times New Roman"/>
          <w:sz w:val="20"/>
          <w:szCs w:val="20"/>
          <w:vertAlign w:val="superscript"/>
        </w:rPr>
        <w:t xml:space="preserve">2 </w:t>
      </w:r>
      <w:r w:rsidRPr="007C14B9">
        <w:rPr>
          <w:rFonts w:ascii="Times New Roman" w:hAnsi="Times New Roman" w:cs="Times New Roman"/>
          <w:sz w:val="20"/>
          <w:szCs w:val="20"/>
        </w:rPr>
        <w:t xml:space="preserve">for all R&amp;D variables, </w:t>
      </w:r>
      <w:r>
        <w:rPr>
          <w:rFonts w:ascii="Times New Roman" w:hAnsi="Times New Roman" w:cs="Times New Roman"/>
          <w:sz w:val="20"/>
          <w:szCs w:val="20"/>
        </w:rPr>
        <w:t xml:space="preserve">providing </w:t>
      </w:r>
      <w:r w:rsidRPr="007C14B9">
        <w:rPr>
          <w:rFonts w:ascii="Times New Roman" w:hAnsi="Times New Roman" w:cs="Times New Roman"/>
          <w:sz w:val="20"/>
          <w:szCs w:val="20"/>
        </w:rPr>
        <w:t xml:space="preserve">further </w:t>
      </w:r>
      <w:r>
        <w:rPr>
          <w:rFonts w:ascii="Times New Roman" w:hAnsi="Times New Roman" w:cs="Times New Roman"/>
          <w:sz w:val="20"/>
          <w:szCs w:val="20"/>
        </w:rPr>
        <w:t xml:space="preserve">evidence that the parallel </w:t>
      </w:r>
      <w:r w:rsidRPr="007C14B9">
        <w:rPr>
          <w:rFonts w:ascii="Times New Roman" w:hAnsi="Times New Roman" w:cs="Times New Roman"/>
          <w:sz w:val="20"/>
          <w:szCs w:val="20"/>
        </w:rPr>
        <w:t>trends assumption</w:t>
      </w:r>
      <w:r>
        <w:rPr>
          <w:rFonts w:ascii="Times New Roman" w:hAnsi="Times New Roman" w:cs="Times New Roman"/>
          <w:sz w:val="20"/>
          <w:szCs w:val="20"/>
        </w:rPr>
        <w:t xml:space="preserve"> is not violated</w:t>
      </w:r>
      <w:r w:rsidRPr="007C14B9">
        <w:rPr>
          <w:rFonts w:ascii="Times New Roman" w:hAnsi="Times New Roman" w:cs="Times New Roman"/>
          <w:sz w:val="20"/>
          <w:szCs w:val="20"/>
        </w:rPr>
        <w:t>.</w:t>
      </w:r>
    </w:p>
  </w:footnote>
  <w:footnote w:id="21">
    <w:p w14:paraId="2227DDF6" w14:textId="56C6365A" w:rsidR="005F3FDF" w:rsidRPr="00657062" w:rsidRDefault="005F3FDF" w:rsidP="000A1FE5">
      <w:pPr>
        <w:pStyle w:val="FootnoteText"/>
        <w:jc w:val="both"/>
        <w:rPr>
          <w:rFonts w:ascii="Times New Roman" w:hAnsi="Times New Roman" w:cs="Times New Roman"/>
        </w:rPr>
      </w:pPr>
      <w:r w:rsidRPr="00657062">
        <w:rPr>
          <w:rStyle w:val="FootnoteReference"/>
          <w:rFonts w:ascii="Times New Roman" w:hAnsi="Times New Roman" w:cs="Times New Roman"/>
        </w:rPr>
        <w:footnoteRef/>
      </w:r>
      <w:r w:rsidRPr="00657062">
        <w:rPr>
          <w:rFonts w:ascii="Times New Roman" w:hAnsi="Times New Roman" w:cs="Times New Roman"/>
        </w:rPr>
        <w:t xml:space="preserve"> Zhong (2018) also finds that R&amp;D expenditures increased after the introduction of IFRS, but she does not compare </w:t>
      </w:r>
      <w:r>
        <w:rPr>
          <w:rFonts w:ascii="Times New Roman" w:hAnsi="Times New Roman" w:cs="Times New Roman"/>
        </w:rPr>
        <w:t>c</w:t>
      </w:r>
      <w:r w:rsidRPr="00657062">
        <w:rPr>
          <w:rFonts w:ascii="Times New Roman" w:hAnsi="Times New Roman" w:cs="Times New Roman"/>
        </w:rPr>
        <w:t xml:space="preserve">apitalizers vs </w:t>
      </w:r>
      <w:r>
        <w:rPr>
          <w:rFonts w:ascii="Times New Roman" w:hAnsi="Times New Roman" w:cs="Times New Roman"/>
        </w:rPr>
        <w:t>s</w:t>
      </w:r>
      <w:r w:rsidRPr="00657062">
        <w:rPr>
          <w:rFonts w:ascii="Times New Roman" w:hAnsi="Times New Roman" w:cs="Times New Roman"/>
        </w:rPr>
        <w:t xml:space="preserve">witchers.  </w:t>
      </w:r>
    </w:p>
  </w:footnote>
  <w:footnote w:id="22">
    <w:p w14:paraId="364EE1B2" w14:textId="032ED2CE" w:rsidR="005F3FDF" w:rsidRPr="002D4204" w:rsidRDefault="005F3FDF" w:rsidP="000A1FE5">
      <w:pPr>
        <w:pStyle w:val="FootnoteText"/>
        <w:jc w:val="both"/>
        <w:rPr>
          <w:rFonts w:asciiTheme="majorBidi" w:hAnsiTheme="majorBidi" w:cstheme="majorBidi"/>
        </w:rPr>
      </w:pPr>
      <w:r w:rsidRPr="002D4204">
        <w:rPr>
          <w:rStyle w:val="FootnoteReference"/>
          <w:rFonts w:asciiTheme="majorBidi" w:hAnsiTheme="majorBidi" w:cstheme="majorBidi"/>
        </w:rPr>
        <w:footnoteRef/>
      </w:r>
      <w:r w:rsidRPr="002D4204">
        <w:rPr>
          <w:rFonts w:asciiTheme="majorBidi" w:hAnsiTheme="majorBidi" w:cstheme="majorBidi"/>
        </w:rPr>
        <w:t xml:space="preserve"> It is possible that switching firms begin to overinvest</w:t>
      </w:r>
      <w:r>
        <w:rPr>
          <w:rFonts w:asciiTheme="majorBidi" w:hAnsiTheme="majorBidi" w:cstheme="majorBidi"/>
        </w:rPr>
        <w:t>,</w:t>
      </w:r>
      <w:r w:rsidRPr="002D4204">
        <w:rPr>
          <w:rFonts w:asciiTheme="majorBidi" w:hAnsiTheme="majorBidi" w:cstheme="majorBidi"/>
        </w:rPr>
        <w:t xml:space="preserve"> but based on the analysis of Miller and Rock (1985), we believe that the switchers under-invested under UK GAAP</w:t>
      </w:r>
      <w:r>
        <w:rPr>
          <w:rFonts w:asciiTheme="majorBidi" w:hAnsiTheme="majorBidi" w:cstheme="majorBidi"/>
        </w:rPr>
        <w:t xml:space="preserve"> (see footnote 12)</w:t>
      </w:r>
      <w:r w:rsidRPr="002D4204">
        <w:rPr>
          <w:rFonts w:asciiTheme="majorBidi" w:hAnsiTheme="majorBidi" w:cstheme="majorBidi"/>
        </w:rPr>
        <w:t>.</w:t>
      </w:r>
    </w:p>
  </w:footnote>
  <w:footnote w:id="23">
    <w:p w14:paraId="78C94383" w14:textId="77777777" w:rsidR="005F3FDF" w:rsidRPr="008D266F" w:rsidRDefault="005F3FDF" w:rsidP="000A1FE5">
      <w:pPr>
        <w:pStyle w:val="FootnoteText"/>
        <w:jc w:val="both"/>
        <w:rPr>
          <w:rFonts w:ascii="Times New Roman" w:hAnsi="Times New Roman" w:cs="Times New Roman"/>
        </w:rPr>
      </w:pPr>
      <w:r w:rsidRPr="008D266F">
        <w:rPr>
          <w:rStyle w:val="FootnoteReference"/>
          <w:rFonts w:ascii="Times New Roman" w:hAnsi="Times New Roman" w:cs="Times New Roman"/>
        </w:rPr>
        <w:footnoteRef/>
      </w:r>
      <w:r w:rsidRPr="008D266F">
        <w:rPr>
          <w:rFonts w:ascii="Times New Roman" w:hAnsi="Times New Roman" w:cs="Times New Roman"/>
        </w:rPr>
        <w:t xml:space="preserve"> Reduction in cost of capital could increase investment even without external financing, as more projects exceed the lower hurdle rate and are internally funded. It is important to keep this in mind for switchers, who are successful firms (Section 5) and may not need external financing.</w:t>
      </w:r>
    </w:p>
  </w:footnote>
  <w:footnote w:id="24">
    <w:p w14:paraId="472CFCDA" w14:textId="7825D2E5" w:rsidR="005F3FDF" w:rsidRPr="00C252A3" w:rsidRDefault="005F3FDF" w:rsidP="000A1FE5">
      <w:pPr>
        <w:pStyle w:val="FootnoteText"/>
        <w:jc w:val="both"/>
        <w:rPr>
          <w:rFonts w:ascii="Times New Roman" w:hAnsi="Times New Roman" w:cs="Times New Roman"/>
        </w:rPr>
      </w:pPr>
      <w:r w:rsidRPr="00C252A3">
        <w:rPr>
          <w:rStyle w:val="FootnoteReference"/>
          <w:rFonts w:ascii="Times New Roman" w:hAnsi="Times New Roman" w:cs="Times New Roman"/>
        </w:rPr>
        <w:footnoteRef/>
      </w:r>
      <w:r w:rsidRPr="00C252A3">
        <w:rPr>
          <w:rFonts w:ascii="Times New Roman" w:hAnsi="Times New Roman" w:cs="Times New Roman"/>
        </w:rPr>
        <w:t xml:space="preserve"> Roychowdhury et al</w:t>
      </w:r>
      <w:r>
        <w:rPr>
          <w:rFonts w:ascii="Times New Roman" w:hAnsi="Times New Roman" w:cs="Times New Roman"/>
        </w:rPr>
        <w:t>.</w:t>
      </w:r>
      <w:r w:rsidRPr="00C252A3">
        <w:rPr>
          <w:rFonts w:ascii="Times New Roman" w:hAnsi="Times New Roman" w:cs="Times New Roman"/>
        </w:rPr>
        <w:t xml:space="preserve"> (2019) also </w:t>
      </w:r>
      <w:r>
        <w:rPr>
          <w:rFonts w:ascii="Times New Roman" w:hAnsi="Times New Roman" w:cs="Times New Roman"/>
        </w:rPr>
        <w:t>discuss an external l</w:t>
      </w:r>
      <w:r w:rsidRPr="00C252A3">
        <w:rPr>
          <w:rFonts w:ascii="Times New Roman" w:hAnsi="Times New Roman" w:cs="Times New Roman"/>
        </w:rPr>
        <w:t>earning channel</w:t>
      </w:r>
      <w:r>
        <w:rPr>
          <w:rFonts w:ascii="Times New Roman" w:hAnsi="Times New Roman" w:cs="Times New Roman"/>
        </w:rPr>
        <w:t xml:space="preserve"> where firms learn from peers</w:t>
      </w:r>
      <w:r w:rsidRPr="00C252A3">
        <w:rPr>
          <w:rFonts w:ascii="Times New Roman" w:hAnsi="Times New Roman" w:cs="Times New Roman"/>
        </w:rPr>
        <w:t>, but this does not apply in our setting, because switchers could already have learned from their capitalizing peers before IFRS.</w:t>
      </w:r>
    </w:p>
  </w:footnote>
  <w:footnote w:id="25">
    <w:p w14:paraId="2A0A1813" w14:textId="126E844C" w:rsidR="005F3FDF" w:rsidRPr="000132A5" w:rsidRDefault="005F3FDF" w:rsidP="000A1FE5">
      <w:pPr>
        <w:pStyle w:val="FootnoteText"/>
        <w:jc w:val="both"/>
        <w:rPr>
          <w:rFonts w:ascii="Times New Roman" w:hAnsi="Times New Roman" w:cs="Times New Roman"/>
        </w:rPr>
      </w:pPr>
      <w:r w:rsidRPr="000132A5">
        <w:rPr>
          <w:rStyle w:val="FootnoteReference"/>
          <w:rFonts w:ascii="Times New Roman" w:hAnsi="Times New Roman" w:cs="Times New Roman"/>
        </w:rPr>
        <w:footnoteRef/>
      </w:r>
      <w:r w:rsidRPr="000132A5">
        <w:rPr>
          <w:rFonts w:ascii="Times New Roman" w:hAnsi="Times New Roman" w:cs="Times New Roman"/>
        </w:rPr>
        <w:t xml:space="preserve"> </w:t>
      </w:r>
      <w:bookmarkStart w:id="4" w:name="_Hlk46664172"/>
      <w:r w:rsidRPr="000132A5">
        <w:rPr>
          <w:rFonts w:asciiTheme="majorBidi" w:hAnsiTheme="majorBidi" w:cstheme="majorBidi"/>
        </w:rPr>
        <w:t xml:space="preserve">For LSE listed firms, 80% (67%) use a profit-based metric for the annual bonus (long term incentive) plan in the last year of UK GAAP. For the first year of IFRS, 84% (72%) of firms use a profit-based metric for the annual bonus (long term incentive) plan. For the AIM listed firms, 13 of the 16 firms (9 of the 12 firms) reporting the details of their annual bonus (long term incentive) plan, use a profit-based metric in the last year of UK GAAP. Similarly, in the first year of IFRS, 14 of the 19 firms (13 of the 16 firms) reporting details of their annual bonus (long term incentive) plan, use a profit-based metric. The </w:t>
      </w:r>
      <w:r>
        <w:rPr>
          <w:rFonts w:asciiTheme="majorBidi" w:hAnsiTheme="majorBidi" w:cstheme="majorBidi"/>
        </w:rPr>
        <w:t xml:space="preserve">widespread </w:t>
      </w:r>
      <w:r w:rsidRPr="000132A5">
        <w:rPr>
          <w:rFonts w:asciiTheme="majorBidi" w:hAnsiTheme="majorBidi" w:cstheme="majorBidi"/>
        </w:rPr>
        <w:t>use of profit-based metrics is consistent with our conjecture that UK firms are concerned about the impact of expensing R&amp;D on earnings.</w:t>
      </w:r>
      <w:bookmarkEnd w:id="4"/>
    </w:p>
  </w:footnote>
  <w:footnote w:id="26">
    <w:p w14:paraId="28A64BC3" w14:textId="0B67EB13" w:rsidR="005F3FDF" w:rsidRPr="00657062" w:rsidRDefault="005F3FDF" w:rsidP="000A1FE5">
      <w:pPr>
        <w:pStyle w:val="FootnoteText"/>
        <w:jc w:val="both"/>
        <w:rPr>
          <w:rFonts w:ascii="Times New Roman" w:hAnsi="Times New Roman" w:cs="Times New Roman"/>
        </w:rPr>
      </w:pPr>
      <w:r w:rsidRPr="00657062">
        <w:rPr>
          <w:rStyle w:val="FootnoteReference"/>
          <w:rFonts w:ascii="Times New Roman" w:hAnsi="Times New Roman" w:cs="Times New Roman"/>
        </w:rPr>
        <w:footnoteRef/>
      </w:r>
      <w:r w:rsidRPr="00657062">
        <w:rPr>
          <w:rFonts w:ascii="Times New Roman" w:hAnsi="Times New Roman" w:cs="Times New Roman"/>
        </w:rPr>
        <w:t xml:space="preserve"> Our result is consistent with Zhong (2018), who finds that R&amp;D expenditures are more sensitive to investment opportunities for firms with high transparency</w:t>
      </w:r>
      <w:r>
        <w:rPr>
          <w:rFonts w:ascii="Times New Roman" w:hAnsi="Times New Roman" w:cs="Times New Roman"/>
        </w:rPr>
        <w:t xml:space="preserve"> (her Table 7)</w:t>
      </w:r>
      <w:r w:rsidRPr="00657062">
        <w:rPr>
          <w:rFonts w:ascii="Times New Roman" w:hAnsi="Times New Roman" w:cs="Times New Roman"/>
        </w:rPr>
        <w:t>.</w:t>
      </w:r>
    </w:p>
  </w:footnote>
  <w:footnote w:id="27">
    <w:p w14:paraId="6B3F89BF" w14:textId="6AE3D76A" w:rsidR="005F3FDF" w:rsidRPr="00974B91" w:rsidRDefault="005F3FDF" w:rsidP="000A1FE5">
      <w:pPr>
        <w:pStyle w:val="FootnoteText"/>
        <w:jc w:val="both"/>
        <w:rPr>
          <w:rFonts w:asciiTheme="majorBidi" w:hAnsiTheme="majorBidi" w:cstheme="majorBidi"/>
        </w:rPr>
      </w:pPr>
      <w:r w:rsidRPr="00974B91">
        <w:rPr>
          <w:rStyle w:val="FootnoteReference"/>
          <w:rFonts w:asciiTheme="majorBidi" w:hAnsiTheme="majorBidi" w:cstheme="majorBidi"/>
        </w:rPr>
        <w:footnoteRef/>
      </w:r>
      <w:r w:rsidRPr="00974B91">
        <w:rPr>
          <w:rFonts w:asciiTheme="majorBidi" w:hAnsiTheme="majorBidi" w:cstheme="majorBidi"/>
        </w:rPr>
        <w:t xml:space="preserve"> In another example of learning</w:t>
      </w:r>
      <w:r>
        <w:rPr>
          <w:rFonts w:asciiTheme="majorBidi" w:hAnsiTheme="majorBidi" w:cstheme="majorBidi"/>
        </w:rPr>
        <w:t xml:space="preserve"> from an accounting rule change</w:t>
      </w:r>
      <w:r w:rsidRPr="00974B91">
        <w:rPr>
          <w:rFonts w:asciiTheme="majorBidi" w:hAnsiTheme="majorBidi" w:cstheme="majorBidi"/>
        </w:rPr>
        <w:t>, Mittelstaedt</w:t>
      </w:r>
      <w:r>
        <w:rPr>
          <w:rFonts w:asciiTheme="majorBidi" w:hAnsiTheme="majorBidi" w:cstheme="majorBidi"/>
        </w:rPr>
        <w:t>, Nichols and Regier</w:t>
      </w:r>
      <w:r w:rsidRPr="00974B91">
        <w:rPr>
          <w:rFonts w:asciiTheme="majorBidi" w:hAnsiTheme="majorBidi" w:cstheme="majorBidi"/>
        </w:rPr>
        <w:t xml:space="preserve"> (1995) </w:t>
      </w:r>
      <w:r>
        <w:rPr>
          <w:rFonts w:asciiTheme="majorBidi" w:hAnsiTheme="majorBidi" w:cstheme="majorBidi"/>
        </w:rPr>
        <w:t xml:space="preserve">find that </w:t>
      </w:r>
      <w:r w:rsidRPr="00974B91">
        <w:rPr>
          <w:rFonts w:asciiTheme="majorBidi" w:hAnsiTheme="majorBidi" w:cstheme="majorBidi"/>
        </w:rPr>
        <w:t xml:space="preserve">firms learned about the value of their promised retiree health benefits when they had to recognize retiree health care liabilities </w:t>
      </w:r>
      <w:r>
        <w:rPr>
          <w:rFonts w:asciiTheme="majorBidi" w:hAnsiTheme="majorBidi" w:cstheme="majorBidi"/>
        </w:rPr>
        <w:t>upon</w:t>
      </w:r>
      <w:r w:rsidRPr="00974B91">
        <w:rPr>
          <w:rFonts w:asciiTheme="majorBidi" w:hAnsiTheme="majorBidi" w:cstheme="majorBidi"/>
        </w:rPr>
        <w:t xml:space="preserve"> adopti</w:t>
      </w:r>
      <w:r>
        <w:rPr>
          <w:rFonts w:asciiTheme="majorBidi" w:hAnsiTheme="majorBidi" w:cstheme="majorBidi"/>
        </w:rPr>
        <w:t xml:space="preserve">on </w:t>
      </w:r>
      <w:r w:rsidRPr="00974B91">
        <w:rPr>
          <w:rFonts w:asciiTheme="majorBidi" w:hAnsiTheme="majorBidi" w:cstheme="majorBidi"/>
        </w:rPr>
        <w:t>SFAS No. 106.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07043"/>
    <w:multiLevelType w:val="multilevel"/>
    <w:tmpl w:val="82A43ECA"/>
    <w:lvl w:ilvl="0">
      <w:start w:val="5"/>
      <w:numFmt w:val="decimal"/>
      <w:lvlText w:val="%1."/>
      <w:lvlJc w:val="left"/>
      <w:pPr>
        <w:ind w:left="2160" w:hanging="360"/>
      </w:pPr>
      <w:rPr>
        <w:rFonts w:hint="default"/>
      </w:rPr>
    </w:lvl>
    <w:lvl w:ilvl="1">
      <w:start w:val="1"/>
      <w:numFmt w:val="decimal"/>
      <w:isLgl/>
      <w:lvlText w:val="%1.%2"/>
      <w:lvlJc w:val="left"/>
      <w:pPr>
        <w:ind w:left="2160" w:hanging="360"/>
      </w:pPr>
      <w:rPr>
        <w:rFonts w:hint="default"/>
        <w:i w:val="0"/>
      </w:rPr>
    </w:lvl>
    <w:lvl w:ilvl="2">
      <w:start w:val="1"/>
      <w:numFmt w:val="decimal"/>
      <w:isLgl/>
      <w:lvlText w:val="%1.%2.%3"/>
      <w:lvlJc w:val="left"/>
      <w:pPr>
        <w:ind w:left="2520" w:hanging="720"/>
      </w:pPr>
      <w:rPr>
        <w:rFonts w:hint="default"/>
        <w:i w:val="0"/>
      </w:rPr>
    </w:lvl>
    <w:lvl w:ilvl="3">
      <w:start w:val="1"/>
      <w:numFmt w:val="decimal"/>
      <w:isLgl/>
      <w:lvlText w:val="%1.%2.%3.%4"/>
      <w:lvlJc w:val="left"/>
      <w:pPr>
        <w:ind w:left="252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2880" w:hanging="1080"/>
      </w:pPr>
      <w:rPr>
        <w:rFonts w:hint="default"/>
        <w:i w:val="0"/>
      </w:rPr>
    </w:lvl>
    <w:lvl w:ilvl="6">
      <w:start w:val="1"/>
      <w:numFmt w:val="decimal"/>
      <w:isLgl/>
      <w:lvlText w:val="%1.%2.%3.%4.%5.%6.%7"/>
      <w:lvlJc w:val="left"/>
      <w:pPr>
        <w:ind w:left="3240" w:hanging="1440"/>
      </w:pPr>
      <w:rPr>
        <w:rFonts w:hint="default"/>
        <w:i w:val="0"/>
      </w:rPr>
    </w:lvl>
    <w:lvl w:ilvl="7">
      <w:start w:val="1"/>
      <w:numFmt w:val="decimal"/>
      <w:isLgl/>
      <w:lvlText w:val="%1.%2.%3.%4.%5.%6.%7.%8"/>
      <w:lvlJc w:val="left"/>
      <w:pPr>
        <w:ind w:left="3240" w:hanging="1440"/>
      </w:pPr>
      <w:rPr>
        <w:rFonts w:hint="default"/>
        <w:i w:val="0"/>
      </w:rPr>
    </w:lvl>
    <w:lvl w:ilvl="8">
      <w:start w:val="1"/>
      <w:numFmt w:val="decimal"/>
      <w:isLgl/>
      <w:lvlText w:val="%1.%2.%3.%4.%5.%6.%7.%8.%9"/>
      <w:lvlJc w:val="left"/>
      <w:pPr>
        <w:ind w:left="3600" w:hanging="1800"/>
      </w:pPr>
      <w:rPr>
        <w:rFonts w:hint="default"/>
        <w:i w:val="0"/>
      </w:rPr>
    </w:lvl>
  </w:abstractNum>
  <w:abstractNum w:abstractNumId="1" w15:restartNumberingAfterBreak="0">
    <w:nsid w:val="030050BA"/>
    <w:multiLevelType w:val="hybridMultilevel"/>
    <w:tmpl w:val="70303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729D8"/>
    <w:multiLevelType w:val="hybridMultilevel"/>
    <w:tmpl w:val="896215D0"/>
    <w:lvl w:ilvl="0" w:tplc="7110D0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976010"/>
    <w:multiLevelType w:val="hybridMultilevel"/>
    <w:tmpl w:val="76E6B938"/>
    <w:lvl w:ilvl="0" w:tplc="144C2F6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F0D9F"/>
    <w:multiLevelType w:val="hybridMultilevel"/>
    <w:tmpl w:val="2F4C055E"/>
    <w:lvl w:ilvl="0" w:tplc="62FE07D8">
      <w:start w:val="3"/>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E48736E"/>
    <w:multiLevelType w:val="multilevel"/>
    <w:tmpl w:val="38B8594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2E97BFB"/>
    <w:multiLevelType w:val="hybridMultilevel"/>
    <w:tmpl w:val="A114F6C4"/>
    <w:lvl w:ilvl="0" w:tplc="85466DB8">
      <w:start w:val="7"/>
      <w:numFmt w:val="decimal"/>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9B2478D"/>
    <w:multiLevelType w:val="hybridMultilevel"/>
    <w:tmpl w:val="900C97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34640F"/>
    <w:multiLevelType w:val="hybridMultilevel"/>
    <w:tmpl w:val="AE6E496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D2A3F04"/>
    <w:multiLevelType w:val="hybridMultilevel"/>
    <w:tmpl w:val="43C0A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4A4423"/>
    <w:multiLevelType w:val="hybridMultilevel"/>
    <w:tmpl w:val="43C0AE0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652351"/>
    <w:multiLevelType w:val="multilevel"/>
    <w:tmpl w:val="E5ACBAA8"/>
    <w:lvl w:ilvl="0">
      <w:start w:val="5"/>
      <w:numFmt w:val="decimal"/>
      <w:lvlText w:val="%1."/>
      <w:lvlJc w:val="left"/>
      <w:pPr>
        <w:ind w:left="720" w:hanging="360"/>
      </w:pPr>
      <w:rPr>
        <w:rFonts w:hint="default"/>
      </w:rPr>
    </w:lvl>
    <w:lvl w:ilvl="1">
      <w:start w:val="3"/>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2" w15:restartNumberingAfterBreak="0">
    <w:nsid w:val="590D0D5C"/>
    <w:multiLevelType w:val="hybridMultilevel"/>
    <w:tmpl w:val="ECF054EC"/>
    <w:lvl w:ilvl="0" w:tplc="D85CF34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68845CA7"/>
    <w:multiLevelType w:val="hybridMultilevel"/>
    <w:tmpl w:val="29447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0632C6"/>
    <w:multiLevelType w:val="hybridMultilevel"/>
    <w:tmpl w:val="F1C6C6A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11"/>
  </w:num>
  <w:num w:numId="4">
    <w:abstractNumId w:val="13"/>
  </w:num>
  <w:num w:numId="5">
    <w:abstractNumId w:val="9"/>
  </w:num>
  <w:num w:numId="6">
    <w:abstractNumId w:val="12"/>
  </w:num>
  <w:num w:numId="7">
    <w:abstractNumId w:val="4"/>
  </w:num>
  <w:num w:numId="8">
    <w:abstractNumId w:val="0"/>
  </w:num>
  <w:num w:numId="9">
    <w:abstractNumId w:val="5"/>
  </w:num>
  <w:num w:numId="10">
    <w:abstractNumId w:val="2"/>
  </w:num>
  <w:num w:numId="11">
    <w:abstractNumId w:val="14"/>
  </w:num>
  <w:num w:numId="12">
    <w:abstractNumId w:val="6"/>
  </w:num>
  <w:num w:numId="13">
    <w:abstractNumId w:val="7"/>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64D"/>
    <w:rsid w:val="00000373"/>
    <w:rsid w:val="00000F41"/>
    <w:rsid w:val="0000130D"/>
    <w:rsid w:val="00001A3B"/>
    <w:rsid w:val="00002176"/>
    <w:rsid w:val="00002634"/>
    <w:rsid w:val="000028D0"/>
    <w:rsid w:val="00002A52"/>
    <w:rsid w:val="00002BEE"/>
    <w:rsid w:val="000031B6"/>
    <w:rsid w:val="0000372A"/>
    <w:rsid w:val="00004E34"/>
    <w:rsid w:val="00004FCB"/>
    <w:rsid w:val="00005F55"/>
    <w:rsid w:val="0000679F"/>
    <w:rsid w:val="0000692E"/>
    <w:rsid w:val="000071C1"/>
    <w:rsid w:val="0000745A"/>
    <w:rsid w:val="0000758B"/>
    <w:rsid w:val="00007B60"/>
    <w:rsid w:val="00010004"/>
    <w:rsid w:val="00011F09"/>
    <w:rsid w:val="000125D8"/>
    <w:rsid w:val="00012665"/>
    <w:rsid w:val="0001291F"/>
    <w:rsid w:val="000132A5"/>
    <w:rsid w:val="00013741"/>
    <w:rsid w:val="00013F9B"/>
    <w:rsid w:val="0001491B"/>
    <w:rsid w:val="0001641C"/>
    <w:rsid w:val="000171D6"/>
    <w:rsid w:val="0001790F"/>
    <w:rsid w:val="00017F04"/>
    <w:rsid w:val="000207C1"/>
    <w:rsid w:val="00020B45"/>
    <w:rsid w:val="00023400"/>
    <w:rsid w:val="000244EA"/>
    <w:rsid w:val="000264F7"/>
    <w:rsid w:val="00026B0D"/>
    <w:rsid w:val="0003342E"/>
    <w:rsid w:val="00033A2B"/>
    <w:rsid w:val="000349A7"/>
    <w:rsid w:val="00034B1B"/>
    <w:rsid w:val="00037174"/>
    <w:rsid w:val="00037F0C"/>
    <w:rsid w:val="000401B4"/>
    <w:rsid w:val="00041A15"/>
    <w:rsid w:val="00041B20"/>
    <w:rsid w:val="0004238E"/>
    <w:rsid w:val="0004253C"/>
    <w:rsid w:val="00042E8B"/>
    <w:rsid w:val="00042F5A"/>
    <w:rsid w:val="00043094"/>
    <w:rsid w:val="00045108"/>
    <w:rsid w:val="00046ABB"/>
    <w:rsid w:val="0004747D"/>
    <w:rsid w:val="000518E9"/>
    <w:rsid w:val="00053271"/>
    <w:rsid w:val="000535F6"/>
    <w:rsid w:val="00053CC5"/>
    <w:rsid w:val="00053D53"/>
    <w:rsid w:val="0005664A"/>
    <w:rsid w:val="00057810"/>
    <w:rsid w:val="00057C7A"/>
    <w:rsid w:val="00061701"/>
    <w:rsid w:val="00062120"/>
    <w:rsid w:val="000622BF"/>
    <w:rsid w:val="00062318"/>
    <w:rsid w:val="000629C7"/>
    <w:rsid w:val="00062A5A"/>
    <w:rsid w:val="00063BEA"/>
    <w:rsid w:val="00064171"/>
    <w:rsid w:val="00064A23"/>
    <w:rsid w:val="0006627E"/>
    <w:rsid w:val="0007114F"/>
    <w:rsid w:val="000735F1"/>
    <w:rsid w:val="00073B4D"/>
    <w:rsid w:val="00073F0C"/>
    <w:rsid w:val="00074EEC"/>
    <w:rsid w:val="00075E74"/>
    <w:rsid w:val="00075EBC"/>
    <w:rsid w:val="00076577"/>
    <w:rsid w:val="0007678A"/>
    <w:rsid w:val="000775EF"/>
    <w:rsid w:val="00077DA9"/>
    <w:rsid w:val="00080B83"/>
    <w:rsid w:val="00082981"/>
    <w:rsid w:val="00082D98"/>
    <w:rsid w:val="00083917"/>
    <w:rsid w:val="00083EAA"/>
    <w:rsid w:val="00086F42"/>
    <w:rsid w:val="00087728"/>
    <w:rsid w:val="000902D7"/>
    <w:rsid w:val="000905FD"/>
    <w:rsid w:val="00091BDD"/>
    <w:rsid w:val="00092180"/>
    <w:rsid w:val="00094B97"/>
    <w:rsid w:val="00094E15"/>
    <w:rsid w:val="0009513A"/>
    <w:rsid w:val="00095A6D"/>
    <w:rsid w:val="00095FFD"/>
    <w:rsid w:val="000A1FE5"/>
    <w:rsid w:val="000A2320"/>
    <w:rsid w:val="000A2D83"/>
    <w:rsid w:val="000A2F2A"/>
    <w:rsid w:val="000A3708"/>
    <w:rsid w:val="000A3A19"/>
    <w:rsid w:val="000A47B2"/>
    <w:rsid w:val="000A72F7"/>
    <w:rsid w:val="000A7DF7"/>
    <w:rsid w:val="000B0F60"/>
    <w:rsid w:val="000B12E1"/>
    <w:rsid w:val="000B2A9D"/>
    <w:rsid w:val="000B3792"/>
    <w:rsid w:val="000B3EEA"/>
    <w:rsid w:val="000B59A6"/>
    <w:rsid w:val="000B7560"/>
    <w:rsid w:val="000C0E32"/>
    <w:rsid w:val="000C1E66"/>
    <w:rsid w:val="000C1F5A"/>
    <w:rsid w:val="000C26F1"/>
    <w:rsid w:val="000C53E4"/>
    <w:rsid w:val="000C560F"/>
    <w:rsid w:val="000C6ECC"/>
    <w:rsid w:val="000D0653"/>
    <w:rsid w:val="000D07FE"/>
    <w:rsid w:val="000D10C2"/>
    <w:rsid w:val="000D18CB"/>
    <w:rsid w:val="000D22C3"/>
    <w:rsid w:val="000D297F"/>
    <w:rsid w:val="000D309D"/>
    <w:rsid w:val="000D3B2B"/>
    <w:rsid w:val="000D48E6"/>
    <w:rsid w:val="000D574D"/>
    <w:rsid w:val="000D57E3"/>
    <w:rsid w:val="000D6765"/>
    <w:rsid w:val="000D7E16"/>
    <w:rsid w:val="000E007C"/>
    <w:rsid w:val="000E02E3"/>
    <w:rsid w:val="000E2C11"/>
    <w:rsid w:val="000E40ED"/>
    <w:rsid w:val="000E4C24"/>
    <w:rsid w:val="000E6E26"/>
    <w:rsid w:val="000E7855"/>
    <w:rsid w:val="000E79F8"/>
    <w:rsid w:val="000E7A03"/>
    <w:rsid w:val="000E7A38"/>
    <w:rsid w:val="000F1203"/>
    <w:rsid w:val="000F16D1"/>
    <w:rsid w:val="000F1C3B"/>
    <w:rsid w:val="000F2B35"/>
    <w:rsid w:val="000F3253"/>
    <w:rsid w:val="000F3F35"/>
    <w:rsid w:val="000F3F7A"/>
    <w:rsid w:val="000F5780"/>
    <w:rsid w:val="000F68F8"/>
    <w:rsid w:val="000F7796"/>
    <w:rsid w:val="00101737"/>
    <w:rsid w:val="00102B17"/>
    <w:rsid w:val="00103C06"/>
    <w:rsid w:val="00104CB6"/>
    <w:rsid w:val="00106718"/>
    <w:rsid w:val="00107931"/>
    <w:rsid w:val="00107A63"/>
    <w:rsid w:val="0011138A"/>
    <w:rsid w:val="00112CDE"/>
    <w:rsid w:val="0011369A"/>
    <w:rsid w:val="00114AB6"/>
    <w:rsid w:val="00114D7D"/>
    <w:rsid w:val="00116D85"/>
    <w:rsid w:val="00116E65"/>
    <w:rsid w:val="001171DC"/>
    <w:rsid w:val="0012154E"/>
    <w:rsid w:val="00122559"/>
    <w:rsid w:val="0012289E"/>
    <w:rsid w:val="00123677"/>
    <w:rsid w:val="001248E1"/>
    <w:rsid w:val="001255EE"/>
    <w:rsid w:val="001256D6"/>
    <w:rsid w:val="00126543"/>
    <w:rsid w:val="00126616"/>
    <w:rsid w:val="001272D2"/>
    <w:rsid w:val="001305E1"/>
    <w:rsid w:val="00134B4E"/>
    <w:rsid w:val="001365FC"/>
    <w:rsid w:val="00140915"/>
    <w:rsid w:val="0014228A"/>
    <w:rsid w:val="00143FE6"/>
    <w:rsid w:val="00143FF7"/>
    <w:rsid w:val="00144300"/>
    <w:rsid w:val="00144A9F"/>
    <w:rsid w:val="00144E6F"/>
    <w:rsid w:val="0014538D"/>
    <w:rsid w:val="001466AD"/>
    <w:rsid w:val="00147364"/>
    <w:rsid w:val="001475B6"/>
    <w:rsid w:val="0014764E"/>
    <w:rsid w:val="00150380"/>
    <w:rsid w:val="0015125C"/>
    <w:rsid w:val="00151D77"/>
    <w:rsid w:val="0015243D"/>
    <w:rsid w:val="001529B6"/>
    <w:rsid w:val="00156AAC"/>
    <w:rsid w:val="001574AF"/>
    <w:rsid w:val="00157803"/>
    <w:rsid w:val="00160026"/>
    <w:rsid w:val="00160154"/>
    <w:rsid w:val="00160A66"/>
    <w:rsid w:val="001612CA"/>
    <w:rsid w:val="00162CCE"/>
    <w:rsid w:val="00163B35"/>
    <w:rsid w:val="00163FEE"/>
    <w:rsid w:val="00164168"/>
    <w:rsid w:val="00164977"/>
    <w:rsid w:val="00164C31"/>
    <w:rsid w:val="001657E7"/>
    <w:rsid w:val="00167E4B"/>
    <w:rsid w:val="00170C0D"/>
    <w:rsid w:val="00171051"/>
    <w:rsid w:val="001712A8"/>
    <w:rsid w:val="00171C2D"/>
    <w:rsid w:val="00172272"/>
    <w:rsid w:val="001726CF"/>
    <w:rsid w:val="00174404"/>
    <w:rsid w:val="00174678"/>
    <w:rsid w:val="001753B6"/>
    <w:rsid w:val="001765CF"/>
    <w:rsid w:val="00177500"/>
    <w:rsid w:val="00177A23"/>
    <w:rsid w:val="00177CB7"/>
    <w:rsid w:val="00181212"/>
    <w:rsid w:val="0018130E"/>
    <w:rsid w:val="00182533"/>
    <w:rsid w:val="00182B23"/>
    <w:rsid w:val="00182FAB"/>
    <w:rsid w:val="001832F5"/>
    <w:rsid w:val="001848A7"/>
    <w:rsid w:val="00186853"/>
    <w:rsid w:val="00186899"/>
    <w:rsid w:val="00186C8C"/>
    <w:rsid w:val="00186E0A"/>
    <w:rsid w:val="00187344"/>
    <w:rsid w:val="0018765A"/>
    <w:rsid w:val="001903D9"/>
    <w:rsid w:val="00191CB3"/>
    <w:rsid w:val="00192CA2"/>
    <w:rsid w:val="00192DB3"/>
    <w:rsid w:val="0019302B"/>
    <w:rsid w:val="00193587"/>
    <w:rsid w:val="00193A62"/>
    <w:rsid w:val="00193CB0"/>
    <w:rsid w:val="001943E9"/>
    <w:rsid w:val="001956F1"/>
    <w:rsid w:val="00195A6D"/>
    <w:rsid w:val="00195D21"/>
    <w:rsid w:val="00196E01"/>
    <w:rsid w:val="001A05E6"/>
    <w:rsid w:val="001A07DC"/>
    <w:rsid w:val="001A11CA"/>
    <w:rsid w:val="001A1745"/>
    <w:rsid w:val="001A1A8B"/>
    <w:rsid w:val="001A1C5B"/>
    <w:rsid w:val="001A297C"/>
    <w:rsid w:val="001A46AB"/>
    <w:rsid w:val="001A61AA"/>
    <w:rsid w:val="001A650C"/>
    <w:rsid w:val="001A6F10"/>
    <w:rsid w:val="001A70FE"/>
    <w:rsid w:val="001B234D"/>
    <w:rsid w:val="001B2B4F"/>
    <w:rsid w:val="001B3F9C"/>
    <w:rsid w:val="001B4344"/>
    <w:rsid w:val="001B5158"/>
    <w:rsid w:val="001B51EF"/>
    <w:rsid w:val="001B78AE"/>
    <w:rsid w:val="001C0BEE"/>
    <w:rsid w:val="001C1978"/>
    <w:rsid w:val="001C2AC4"/>
    <w:rsid w:val="001C2ACB"/>
    <w:rsid w:val="001C325E"/>
    <w:rsid w:val="001C32BA"/>
    <w:rsid w:val="001C4D54"/>
    <w:rsid w:val="001C5461"/>
    <w:rsid w:val="001C61F4"/>
    <w:rsid w:val="001C7AA4"/>
    <w:rsid w:val="001C7BBC"/>
    <w:rsid w:val="001C7C6B"/>
    <w:rsid w:val="001C7DD7"/>
    <w:rsid w:val="001D089C"/>
    <w:rsid w:val="001D0BF7"/>
    <w:rsid w:val="001D4320"/>
    <w:rsid w:val="001D45F4"/>
    <w:rsid w:val="001D4AC5"/>
    <w:rsid w:val="001D732C"/>
    <w:rsid w:val="001D7B0D"/>
    <w:rsid w:val="001D7FF3"/>
    <w:rsid w:val="001E0497"/>
    <w:rsid w:val="001E0B89"/>
    <w:rsid w:val="001E0CD3"/>
    <w:rsid w:val="001E13F6"/>
    <w:rsid w:val="001E1C94"/>
    <w:rsid w:val="001E2ADA"/>
    <w:rsid w:val="001E42C1"/>
    <w:rsid w:val="001E5469"/>
    <w:rsid w:val="001E54D7"/>
    <w:rsid w:val="001E5998"/>
    <w:rsid w:val="001E6628"/>
    <w:rsid w:val="001E7FA9"/>
    <w:rsid w:val="001F052F"/>
    <w:rsid w:val="001F11B5"/>
    <w:rsid w:val="001F2596"/>
    <w:rsid w:val="001F46EC"/>
    <w:rsid w:val="001F5267"/>
    <w:rsid w:val="001F5EB1"/>
    <w:rsid w:val="001F679F"/>
    <w:rsid w:val="001F7FD9"/>
    <w:rsid w:val="00200126"/>
    <w:rsid w:val="00200E4B"/>
    <w:rsid w:val="00201644"/>
    <w:rsid w:val="00201E32"/>
    <w:rsid w:val="00202B36"/>
    <w:rsid w:val="00202D5E"/>
    <w:rsid w:val="00204A1E"/>
    <w:rsid w:val="00204B59"/>
    <w:rsid w:val="00206889"/>
    <w:rsid w:val="00207D58"/>
    <w:rsid w:val="00210645"/>
    <w:rsid w:val="00210B17"/>
    <w:rsid w:val="00210C13"/>
    <w:rsid w:val="00213A2D"/>
    <w:rsid w:val="002149D6"/>
    <w:rsid w:val="002202D0"/>
    <w:rsid w:val="0022044D"/>
    <w:rsid w:val="00220E1E"/>
    <w:rsid w:val="00221EF1"/>
    <w:rsid w:val="0022275C"/>
    <w:rsid w:val="00222A2A"/>
    <w:rsid w:val="00222B74"/>
    <w:rsid w:val="002246A9"/>
    <w:rsid w:val="002246FA"/>
    <w:rsid w:val="00225869"/>
    <w:rsid w:val="002258F4"/>
    <w:rsid w:val="00225940"/>
    <w:rsid w:val="00225D37"/>
    <w:rsid w:val="0022731D"/>
    <w:rsid w:val="0022766C"/>
    <w:rsid w:val="002276EE"/>
    <w:rsid w:val="00227F11"/>
    <w:rsid w:val="00231E9D"/>
    <w:rsid w:val="0023207E"/>
    <w:rsid w:val="00232D06"/>
    <w:rsid w:val="00233A83"/>
    <w:rsid w:val="00233BBA"/>
    <w:rsid w:val="00233DB1"/>
    <w:rsid w:val="00234A24"/>
    <w:rsid w:val="002351F0"/>
    <w:rsid w:val="0023538D"/>
    <w:rsid w:val="002354E6"/>
    <w:rsid w:val="00235806"/>
    <w:rsid w:val="00237F78"/>
    <w:rsid w:val="0024244A"/>
    <w:rsid w:val="00247ABF"/>
    <w:rsid w:val="00247D81"/>
    <w:rsid w:val="0025055E"/>
    <w:rsid w:val="00250E27"/>
    <w:rsid w:val="00251716"/>
    <w:rsid w:val="002521FD"/>
    <w:rsid w:val="00252335"/>
    <w:rsid w:val="00252527"/>
    <w:rsid w:val="00252D11"/>
    <w:rsid w:val="00252F15"/>
    <w:rsid w:val="00253912"/>
    <w:rsid w:val="00255FBE"/>
    <w:rsid w:val="002566EA"/>
    <w:rsid w:val="002568B0"/>
    <w:rsid w:val="00260CD3"/>
    <w:rsid w:val="00260EC7"/>
    <w:rsid w:val="00262979"/>
    <w:rsid w:val="00262EA8"/>
    <w:rsid w:val="00262FDB"/>
    <w:rsid w:val="002631BA"/>
    <w:rsid w:val="002642F8"/>
    <w:rsid w:val="00265224"/>
    <w:rsid w:val="0026581E"/>
    <w:rsid w:val="0026601B"/>
    <w:rsid w:val="0026651A"/>
    <w:rsid w:val="00267CF7"/>
    <w:rsid w:val="00270B36"/>
    <w:rsid w:val="00270B40"/>
    <w:rsid w:val="002720A0"/>
    <w:rsid w:val="00272247"/>
    <w:rsid w:val="002732AE"/>
    <w:rsid w:val="00273344"/>
    <w:rsid w:val="00273B7D"/>
    <w:rsid w:val="002748F1"/>
    <w:rsid w:val="002749F6"/>
    <w:rsid w:val="00275974"/>
    <w:rsid w:val="00275CAC"/>
    <w:rsid w:val="00276C31"/>
    <w:rsid w:val="0028294F"/>
    <w:rsid w:val="00282D6A"/>
    <w:rsid w:val="0028314D"/>
    <w:rsid w:val="0028507D"/>
    <w:rsid w:val="00285688"/>
    <w:rsid w:val="0028569F"/>
    <w:rsid w:val="00286AA8"/>
    <w:rsid w:val="00287C50"/>
    <w:rsid w:val="00287D82"/>
    <w:rsid w:val="00290C46"/>
    <w:rsid w:val="00293355"/>
    <w:rsid w:val="00293E43"/>
    <w:rsid w:val="00296306"/>
    <w:rsid w:val="002A02FC"/>
    <w:rsid w:val="002A0FC5"/>
    <w:rsid w:val="002A10AD"/>
    <w:rsid w:val="002A3221"/>
    <w:rsid w:val="002A51CB"/>
    <w:rsid w:val="002A5BC2"/>
    <w:rsid w:val="002A6EE3"/>
    <w:rsid w:val="002A7419"/>
    <w:rsid w:val="002A751D"/>
    <w:rsid w:val="002A7AB7"/>
    <w:rsid w:val="002B0819"/>
    <w:rsid w:val="002B0B6D"/>
    <w:rsid w:val="002B0F29"/>
    <w:rsid w:val="002B11EE"/>
    <w:rsid w:val="002B120F"/>
    <w:rsid w:val="002B2568"/>
    <w:rsid w:val="002B2923"/>
    <w:rsid w:val="002B3ABF"/>
    <w:rsid w:val="002B5121"/>
    <w:rsid w:val="002B5BE5"/>
    <w:rsid w:val="002B61E0"/>
    <w:rsid w:val="002B6453"/>
    <w:rsid w:val="002B6E77"/>
    <w:rsid w:val="002C12A2"/>
    <w:rsid w:val="002C1591"/>
    <w:rsid w:val="002C15D2"/>
    <w:rsid w:val="002C1A29"/>
    <w:rsid w:val="002C2F89"/>
    <w:rsid w:val="002C57DE"/>
    <w:rsid w:val="002C6E49"/>
    <w:rsid w:val="002C71A0"/>
    <w:rsid w:val="002D1E3D"/>
    <w:rsid w:val="002D29F5"/>
    <w:rsid w:val="002D4204"/>
    <w:rsid w:val="002D48C2"/>
    <w:rsid w:val="002D5A4F"/>
    <w:rsid w:val="002D74F1"/>
    <w:rsid w:val="002D7BF1"/>
    <w:rsid w:val="002D7C35"/>
    <w:rsid w:val="002E03F5"/>
    <w:rsid w:val="002E0C26"/>
    <w:rsid w:val="002E29EF"/>
    <w:rsid w:val="002E4483"/>
    <w:rsid w:val="002E63D2"/>
    <w:rsid w:val="002E696E"/>
    <w:rsid w:val="002E7BCB"/>
    <w:rsid w:val="002F0527"/>
    <w:rsid w:val="002F0682"/>
    <w:rsid w:val="002F0D9F"/>
    <w:rsid w:val="002F2642"/>
    <w:rsid w:val="002F3992"/>
    <w:rsid w:val="002F3F9D"/>
    <w:rsid w:val="002F43AA"/>
    <w:rsid w:val="002F49FA"/>
    <w:rsid w:val="002F4F1D"/>
    <w:rsid w:val="002F53C6"/>
    <w:rsid w:val="002F665F"/>
    <w:rsid w:val="002F6B5B"/>
    <w:rsid w:val="002F74DA"/>
    <w:rsid w:val="003006D9"/>
    <w:rsid w:val="0030075C"/>
    <w:rsid w:val="00302C2A"/>
    <w:rsid w:val="00303B71"/>
    <w:rsid w:val="00304302"/>
    <w:rsid w:val="003052BC"/>
    <w:rsid w:val="00305A1E"/>
    <w:rsid w:val="0030646B"/>
    <w:rsid w:val="00306B94"/>
    <w:rsid w:val="0030754E"/>
    <w:rsid w:val="00307B3D"/>
    <w:rsid w:val="00310A95"/>
    <w:rsid w:val="0031110C"/>
    <w:rsid w:val="00312EED"/>
    <w:rsid w:val="00313013"/>
    <w:rsid w:val="00313097"/>
    <w:rsid w:val="00313AC3"/>
    <w:rsid w:val="00313B47"/>
    <w:rsid w:val="00313CD6"/>
    <w:rsid w:val="00315302"/>
    <w:rsid w:val="00316210"/>
    <w:rsid w:val="00317A5B"/>
    <w:rsid w:val="003208B8"/>
    <w:rsid w:val="003215CB"/>
    <w:rsid w:val="003215E2"/>
    <w:rsid w:val="003234D3"/>
    <w:rsid w:val="0032368E"/>
    <w:rsid w:val="00325652"/>
    <w:rsid w:val="00325749"/>
    <w:rsid w:val="003276C1"/>
    <w:rsid w:val="00327972"/>
    <w:rsid w:val="003309FC"/>
    <w:rsid w:val="00331B80"/>
    <w:rsid w:val="00331CCE"/>
    <w:rsid w:val="00332760"/>
    <w:rsid w:val="003359DD"/>
    <w:rsid w:val="00335A24"/>
    <w:rsid w:val="003361FD"/>
    <w:rsid w:val="00336A4D"/>
    <w:rsid w:val="00336FED"/>
    <w:rsid w:val="0033719F"/>
    <w:rsid w:val="003404CD"/>
    <w:rsid w:val="00340C5F"/>
    <w:rsid w:val="0034109E"/>
    <w:rsid w:val="003413FC"/>
    <w:rsid w:val="003420FF"/>
    <w:rsid w:val="00342B4E"/>
    <w:rsid w:val="0034336A"/>
    <w:rsid w:val="00343808"/>
    <w:rsid w:val="00346749"/>
    <w:rsid w:val="00347FEB"/>
    <w:rsid w:val="00350990"/>
    <w:rsid w:val="00355E00"/>
    <w:rsid w:val="00357480"/>
    <w:rsid w:val="003608BC"/>
    <w:rsid w:val="0036212E"/>
    <w:rsid w:val="00362332"/>
    <w:rsid w:val="003626CA"/>
    <w:rsid w:val="00362ADF"/>
    <w:rsid w:val="00362DA4"/>
    <w:rsid w:val="00362DC2"/>
    <w:rsid w:val="0036372A"/>
    <w:rsid w:val="00363BB3"/>
    <w:rsid w:val="00363C27"/>
    <w:rsid w:val="00363EE1"/>
    <w:rsid w:val="0036455D"/>
    <w:rsid w:val="003677E0"/>
    <w:rsid w:val="00367C25"/>
    <w:rsid w:val="00371BC0"/>
    <w:rsid w:val="00371CD9"/>
    <w:rsid w:val="003720B9"/>
    <w:rsid w:val="003768D9"/>
    <w:rsid w:val="00376F1A"/>
    <w:rsid w:val="00377545"/>
    <w:rsid w:val="00380115"/>
    <w:rsid w:val="003808C1"/>
    <w:rsid w:val="0038102C"/>
    <w:rsid w:val="003812C4"/>
    <w:rsid w:val="00383B50"/>
    <w:rsid w:val="00384828"/>
    <w:rsid w:val="003849C8"/>
    <w:rsid w:val="0038503F"/>
    <w:rsid w:val="00385176"/>
    <w:rsid w:val="0038557D"/>
    <w:rsid w:val="00385A76"/>
    <w:rsid w:val="0038631A"/>
    <w:rsid w:val="0038639C"/>
    <w:rsid w:val="0038694D"/>
    <w:rsid w:val="00387C32"/>
    <w:rsid w:val="00387E2A"/>
    <w:rsid w:val="0039035E"/>
    <w:rsid w:val="00390705"/>
    <w:rsid w:val="00390BB1"/>
    <w:rsid w:val="00390EE7"/>
    <w:rsid w:val="00391407"/>
    <w:rsid w:val="00391517"/>
    <w:rsid w:val="00391A76"/>
    <w:rsid w:val="00391AD2"/>
    <w:rsid w:val="00391C00"/>
    <w:rsid w:val="003922EE"/>
    <w:rsid w:val="003924F4"/>
    <w:rsid w:val="00392C00"/>
    <w:rsid w:val="0039389C"/>
    <w:rsid w:val="00393D6F"/>
    <w:rsid w:val="003962E0"/>
    <w:rsid w:val="00396BD8"/>
    <w:rsid w:val="00397934"/>
    <w:rsid w:val="003A03BD"/>
    <w:rsid w:val="003A1514"/>
    <w:rsid w:val="003A2A63"/>
    <w:rsid w:val="003A3438"/>
    <w:rsid w:val="003A4BC1"/>
    <w:rsid w:val="003A7D5F"/>
    <w:rsid w:val="003B086A"/>
    <w:rsid w:val="003B1671"/>
    <w:rsid w:val="003B168C"/>
    <w:rsid w:val="003B2306"/>
    <w:rsid w:val="003B24AA"/>
    <w:rsid w:val="003B251A"/>
    <w:rsid w:val="003B2ADB"/>
    <w:rsid w:val="003B2C00"/>
    <w:rsid w:val="003B418E"/>
    <w:rsid w:val="003B48EE"/>
    <w:rsid w:val="003B598D"/>
    <w:rsid w:val="003B5B29"/>
    <w:rsid w:val="003B7D2F"/>
    <w:rsid w:val="003C0840"/>
    <w:rsid w:val="003C115D"/>
    <w:rsid w:val="003C1276"/>
    <w:rsid w:val="003C248C"/>
    <w:rsid w:val="003C3239"/>
    <w:rsid w:val="003C4FE2"/>
    <w:rsid w:val="003C5C07"/>
    <w:rsid w:val="003C66D0"/>
    <w:rsid w:val="003C79D5"/>
    <w:rsid w:val="003C7B8A"/>
    <w:rsid w:val="003D0647"/>
    <w:rsid w:val="003D134D"/>
    <w:rsid w:val="003D3C08"/>
    <w:rsid w:val="003D3E78"/>
    <w:rsid w:val="003D4245"/>
    <w:rsid w:val="003D4780"/>
    <w:rsid w:val="003D4D2C"/>
    <w:rsid w:val="003D5C4B"/>
    <w:rsid w:val="003D7D70"/>
    <w:rsid w:val="003E1CF5"/>
    <w:rsid w:val="003E2D6E"/>
    <w:rsid w:val="003E3473"/>
    <w:rsid w:val="003E35CF"/>
    <w:rsid w:val="003E3ACE"/>
    <w:rsid w:val="003E412F"/>
    <w:rsid w:val="003E46BA"/>
    <w:rsid w:val="003E4B01"/>
    <w:rsid w:val="003E6AA1"/>
    <w:rsid w:val="003E6C4D"/>
    <w:rsid w:val="003E7228"/>
    <w:rsid w:val="003E7B3D"/>
    <w:rsid w:val="003E7B5A"/>
    <w:rsid w:val="003F032C"/>
    <w:rsid w:val="003F0B6F"/>
    <w:rsid w:val="003F0E48"/>
    <w:rsid w:val="003F1521"/>
    <w:rsid w:val="003F2378"/>
    <w:rsid w:val="003F249F"/>
    <w:rsid w:val="003F2713"/>
    <w:rsid w:val="003F3841"/>
    <w:rsid w:val="003F58C6"/>
    <w:rsid w:val="003F5C13"/>
    <w:rsid w:val="003F606A"/>
    <w:rsid w:val="003F63B0"/>
    <w:rsid w:val="00400C3A"/>
    <w:rsid w:val="00401004"/>
    <w:rsid w:val="0040194E"/>
    <w:rsid w:val="0040250C"/>
    <w:rsid w:val="00403CE6"/>
    <w:rsid w:val="00404216"/>
    <w:rsid w:val="00404221"/>
    <w:rsid w:val="00405B35"/>
    <w:rsid w:val="004068D8"/>
    <w:rsid w:val="00411FC8"/>
    <w:rsid w:val="0041453D"/>
    <w:rsid w:val="00414B16"/>
    <w:rsid w:val="00414D0D"/>
    <w:rsid w:val="0041601F"/>
    <w:rsid w:val="00416D85"/>
    <w:rsid w:val="004176AA"/>
    <w:rsid w:val="004208E0"/>
    <w:rsid w:val="00420B62"/>
    <w:rsid w:val="0042297F"/>
    <w:rsid w:val="00423B8C"/>
    <w:rsid w:val="00423E4D"/>
    <w:rsid w:val="004258E6"/>
    <w:rsid w:val="00426A06"/>
    <w:rsid w:val="00427922"/>
    <w:rsid w:val="00427A96"/>
    <w:rsid w:val="0043084B"/>
    <w:rsid w:val="00431073"/>
    <w:rsid w:val="00431695"/>
    <w:rsid w:val="00431DD3"/>
    <w:rsid w:val="0043202D"/>
    <w:rsid w:val="0043227B"/>
    <w:rsid w:val="0043264C"/>
    <w:rsid w:val="00433448"/>
    <w:rsid w:val="00434A3C"/>
    <w:rsid w:val="00436529"/>
    <w:rsid w:val="00436A0A"/>
    <w:rsid w:val="00436AA5"/>
    <w:rsid w:val="00437AE5"/>
    <w:rsid w:val="00437FD1"/>
    <w:rsid w:val="00440656"/>
    <w:rsid w:val="00441D06"/>
    <w:rsid w:val="0044227F"/>
    <w:rsid w:val="00442F02"/>
    <w:rsid w:val="00443870"/>
    <w:rsid w:val="00444AD8"/>
    <w:rsid w:val="00445335"/>
    <w:rsid w:val="00445B56"/>
    <w:rsid w:val="00445C71"/>
    <w:rsid w:val="00446545"/>
    <w:rsid w:val="00447441"/>
    <w:rsid w:val="004478FB"/>
    <w:rsid w:val="004479C7"/>
    <w:rsid w:val="00447A74"/>
    <w:rsid w:val="00452B62"/>
    <w:rsid w:val="00452D2D"/>
    <w:rsid w:val="00456846"/>
    <w:rsid w:val="00456DC6"/>
    <w:rsid w:val="0046130B"/>
    <w:rsid w:val="004618DB"/>
    <w:rsid w:val="00461FD4"/>
    <w:rsid w:val="004621E7"/>
    <w:rsid w:val="004632F0"/>
    <w:rsid w:val="004656C8"/>
    <w:rsid w:val="00466E92"/>
    <w:rsid w:val="00467833"/>
    <w:rsid w:val="00467A2B"/>
    <w:rsid w:val="00467D74"/>
    <w:rsid w:val="00470355"/>
    <w:rsid w:val="00470A23"/>
    <w:rsid w:val="00470A39"/>
    <w:rsid w:val="004719E9"/>
    <w:rsid w:val="00471BBB"/>
    <w:rsid w:val="0047219A"/>
    <w:rsid w:val="004723EF"/>
    <w:rsid w:val="00474604"/>
    <w:rsid w:val="00474D53"/>
    <w:rsid w:val="004753EB"/>
    <w:rsid w:val="00475700"/>
    <w:rsid w:val="00476C26"/>
    <w:rsid w:val="00477214"/>
    <w:rsid w:val="00477ED1"/>
    <w:rsid w:val="00480C6E"/>
    <w:rsid w:val="004815F7"/>
    <w:rsid w:val="00481C96"/>
    <w:rsid w:val="0048206E"/>
    <w:rsid w:val="00482283"/>
    <w:rsid w:val="004822D1"/>
    <w:rsid w:val="00482731"/>
    <w:rsid w:val="004827D5"/>
    <w:rsid w:val="0048290C"/>
    <w:rsid w:val="004835FD"/>
    <w:rsid w:val="00483789"/>
    <w:rsid w:val="00484BFD"/>
    <w:rsid w:val="0048613A"/>
    <w:rsid w:val="00490728"/>
    <w:rsid w:val="00490B4B"/>
    <w:rsid w:val="00491047"/>
    <w:rsid w:val="00491884"/>
    <w:rsid w:val="0049222D"/>
    <w:rsid w:val="0049330D"/>
    <w:rsid w:val="00493A07"/>
    <w:rsid w:val="00493C3B"/>
    <w:rsid w:val="00494089"/>
    <w:rsid w:val="00494D05"/>
    <w:rsid w:val="00496348"/>
    <w:rsid w:val="00496C5D"/>
    <w:rsid w:val="00496FBD"/>
    <w:rsid w:val="004978C1"/>
    <w:rsid w:val="00497A52"/>
    <w:rsid w:val="00497FE3"/>
    <w:rsid w:val="004A0CDB"/>
    <w:rsid w:val="004A0F9D"/>
    <w:rsid w:val="004A14F4"/>
    <w:rsid w:val="004A3022"/>
    <w:rsid w:val="004A3C6F"/>
    <w:rsid w:val="004A3E1E"/>
    <w:rsid w:val="004A424D"/>
    <w:rsid w:val="004A6B7B"/>
    <w:rsid w:val="004A78B6"/>
    <w:rsid w:val="004B0C71"/>
    <w:rsid w:val="004B1DFF"/>
    <w:rsid w:val="004B20B9"/>
    <w:rsid w:val="004B274B"/>
    <w:rsid w:val="004B39B1"/>
    <w:rsid w:val="004B3DD5"/>
    <w:rsid w:val="004B48FC"/>
    <w:rsid w:val="004B5109"/>
    <w:rsid w:val="004B6704"/>
    <w:rsid w:val="004B6F1A"/>
    <w:rsid w:val="004C0507"/>
    <w:rsid w:val="004C0E96"/>
    <w:rsid w:val="004C1155"/>
    <w:rsid w:val="004C1EAB"/>
    <w:rsid w:val="004C23C1"/>
    <w:rsid w:val="004C2D1C"/>
    <w:rsid w:val="004C57C6"/>
    <w:rsid w:val="004D0224"/>
    <w:rsid w:val="004D0745"/>
    <w:rsid w:val="004D0C74"/>
    <w:rsid w:val="004D15F2"/>
    <w:rsid w:val="004D2697"/>
    <w:rsid w:val="004D288C"/>
    <w:rsid w:val="004D2CDE"/>
    <w:rsid w:val="004D34A0"/>
    <w:rsid w:val="004D4E27"/>
    <w:rsid w:val="004D4E3A"/>
    <w:rsid w:val="004D79BB"/>
    <w:rsid w:val="004E1190"/>
    <w:rsid w:val="004E14CF"/>
    <w:rsid w:val="004E21E5"/>
    <w:rsid w:val="004E2F07"/>
    <w:rsid w:val="004E3ED5"/>
    <w:rsid w:val="004E3FB1"/>
    <w:rsid w:val="004E59C2"/>
    <w:rsid w:val="004E5A78"/>
    <w:rsid w:val="004E5C60"/>
    <w:rsid w:val="004E671F"/>
    <w:rsid w:val="004E6EE2"/>
    <w:rsid w:val="004E75A1"/>
    <w:rsid w:val="004F010B"/>
    <w:rsid w:val="004F161F"/>
    <w:rsid w:val="004F22B3"/>
    <w:rsid w:val="004F3642"/>
    <w:rsid w:val="004F3688"/>
    <w:rsid w:val="004F44DF"/>
    <w:rsid w:val="004F4682"/>
    <w:rsid w:val="004F4B94"/>
    <w:rsid w:val="004F5E44"/>
    <w:rsid w:val="004F60C5"/>
    <w:rsid w:val="004F686B"/>
    <w:rsid w:val="004F6956"/>
    <w:rsid w:val="004F70A8"/>
    <w:rsid w:val="004F7CFB"/>
    <w:rsid w:val="00501AB2"/>
    <w:rsid w:val="0050224F"/>
    <w:rsid w:val="00502301"/>
    <w:rsid w:val="00502965"/>
    <w:rsid w:val="00502F73"/>
    <w:rsid w:val="00503456"/>
    <w:rsid w:val="005046F3"/>
    <w:rsid w:val="00504743"/>
    <w:rsid w:val="00506253"/>
    <w:rsid w:val="005062AB"/>
    <w:rsid w:val="00506C3D"/>
    <w:rsid w:val="00506C8A"/>
    <w:rsid w:val="00507096"/>
    <w:rsid w:val="005076A5"/>
    <w:rsid w:val="005106BF"/>
    <w:rsid w:val="005109A1"/>
    <w:rsid w:val="0051108B"/>
    <w:rsid w:val="00511992"/>
    <w:rsid w:val="00511FA4"/>
    <w:rsid w:val="005137F2"/>
    <w:rsid w:val="00514EA3"/>
    <w:rsid w:val="005156CB"/>
    <w:rsid w:val="005158D0"/>
    <w:rsid w:val="00515934"/>
    <w:rsid w:val="00516FC4"/>
    <w:rsid w:val="005172B4"/>
    <w:rsid w:val="005206D5"/>
    <w:rsid w:val="005213F8"/>
    <w:rsid w:val="005221D3"/>
    <w:rsid w:val="00522B47"/>
    <w:rsid w:val="00524720"/>
    <w:rsid w:val="00524C59"/>
    <w:rsid w:val="00525D1F"/>
    <w:rsid w:val="00526A55"/>
    <w:rsid w:val="00527FF3"/>
    <w:rsid w:val="00530A0D"/>
    <w:rsid w:val="00530A8B"/>
    <w:rsid w:val="00530B0E"/>
    <w:rsid w:val="005319B6"/>
    <w:rsid w:val="00532C6B"/>
    <w:rsid w:val="005334AE"/>
    <w:rsid w:val="005337F2"/>
    <w:rsid w:val="0053388D"/>
    <w:rsid w:val="005353F4"/>
    <w:rsid w:val="005369C1"/>
    <w:rsid w:val="00537433"/>
    <w:rsid w:val="005405B4"/>
    <w:rsid w:val="00540EAB"/>
    <w:rsid w:val="0054143B"/>
    <w:rsid w:val="005416FA"/>
    <w:rsid w:val="00541E67"/>
    <w:rsid w:val="005423D3"/>
    <w:rsid w:val="005439F2"/>
    <w:rsid w:val="00546D05"/>
    <w:rsid w:val="00547E16"/>
    <w:rsid w:val="00550236"/>
    <w:rsid w:val="005507A9"/>
    <w:rsid w:val="00551C85"/>
    <w:rsid w:val="00555B5D"/>
    <w:rsid w:val="00555C39"/>
    <w:rsid w:val="00556077"/>
    <w:rsid w:val="00557E38"/>
    <w:rsid w:val="00560F7F"/>
    <w:rsid w:val="005612B7"/>
    <w:rsid w:val="00561EE4"/>
    <w:rsid w:val="005632A3"/>
    <w:rsid w:val="005654A5"/>
    <w:rsid w:val="005658D9"/>
    <w:rsid w:val="00566A34"/>
    <w:rsid w:val="00570290"/>
    <w:rsid w:val="005702A4"/>
    <w:rsid w:val="005702B7"/>
    <w:rsid w:val="00570960"/>
    <w:rsid w:val="00570B44"/>
    <w:rsid w:val="00570F1D"/>
    <w:rsid w:val="00571C68"/>
    <w:rsid w:val="00572528"/>
    <w:rsid w:val="00572894"/>
    <w:rsid w:val="00572B0A"/>
    <w:rsid w:val="005748F2"/>
    <w:rsid w:val="00574A9B"/>
    <w:rsid w:val="00574AAD"/>
    <w:rsid w:val="00574F13"/>
    <w:rsid w:val="005766AF"/>
    <w:rsid w:val="00577094"/>
    <w:rsid w:val="00577B90"/>
    <w:rsid w:val="00577F57"/>
    <w:rsid w:val="0058028C"/>
    <w:rsid w:val="00580E8A"/>
    <w:rsid w:val="0058146B"/>
    <w:rsid w:val="00581AD7"/>
    <w:rsid w:val="00582765"/>
    <w:rsid w:val="00582B6B"/>
    <w:rsid w:val="005831B4"/>
    <w:rsid w:val="005839E5"/>
    <w:rsid w:val="00583BE3"/>
    <w:rsid w:val="00584CC2"/>
    <w:rsid w:val="00590671"/>
    <w:rsid w:val="00590C13"/>
    <w:rsid w:val="005911FB"/>
    <w:rsid w:val="005913D8"/>
    <w:rsid w:val="00591C6F"/>
    <w:rsid w:val="00591FCF"/>
    <w:rsid w:val="005923C0"/>
    <w:rsid w:val="0059474B"/>
    <w:rsid w:val="0059596B"/>
    <w:rsid w:val="00595D0A"/>
    <w:rsid w:val="00597203"/>
    <w:rsid w:val="00597E33"/>
    <w:rsid w:val="005A024F"/>
    <w:rsid w:val="005A28F0"/>
    <w:rsid w:val="005A2A5B"/>
    <w:rsid w:val="005A3386"/>
    <w:rsid w:val="005A359E"/>
    <w:rsid w:val="005A3975"/>
    <w:rsid w:val="005A3A32"/>
    <w:rsid w:val="005A3CC2"/>
    <w:rsid w:val="005A4281"/>
    <w:rsid w:val="005A46E8"/>
    <w:rsid w:val="005A5508"/>
    <w:rsid w:val="005A5F09"/>
    <w:rsid w:val="005A6B0E"/>
    <w:rsid w:val="005A7773"/>
    <w:rsid w:val="005B08D9"/>
    <w:rsid w:val="005B098D"/>
    <w:rsid w:val="005B0A84"/>
    <w:rsid w:val="005B1056"/>
    <w:rsid w:val="005B13F1"/>
    <w:rsid w:val="005B1697"/>
    <w:rsid w:val="005B1A3A"/>
    <w:rsid w:val="005B2399"/>
    <w:rsid w:val="005B4BF6"/>
    <w:rsid w:val="005B5D27"/>
    <w:rsid w:val="005B6AE1"/>
    <w:rsid w:val="005C0353"/>
    <w:rsid w:val="005C22A9"/>
    <w:rsid w:val="005C26FF"/>
    <w:rsid w:val="005C2A9C"/>
    <w:rsid w:val="005C2E85"/>
    <w:rsid w:val="005C2F55"/>
    <w:rsid w:val="005C3B29"/>
    <w:rsid w:val="005C4678"/>
    <w:rsid w:val="005C511C"/>
    <w:rsid w:val="005C6A09"/>
    <w:rsid w:val="005C6A7B"/>
    <w:rsid w:val="005C6C4F"/>
    <w:rsid w:val="005C734A"/>
    <w:rsid w:val="005D110D"/>
    <w:rsid w:val="005D17A4"/>
    <w:rsid w:val="005D1EB6"/>
    <w:rsid w:val="005D2635"/>
    <w:rsid w:val="005D2813"/>
    <w:rsid w:val="005D29A6"/>
    <w:rsid w:val="005D2CB5"/>
    <w:rsid w:val="005D404B"/>
    <w:rsid w:val="005D4207"/>
    <w:rsid w:val="005D496A"/>
    <w:rsid w:val="005D5939"/>
    <w:rsid w:val="005D6B69"/>
    <w:rsid w:val="005D6D53"/>
    <w:rsid w:val="005D7E16"/>
    <w:rsid w:val="005E1A02"/>
    <w:rsid w:val="005E43DD"/>
    <w:rsid w:val="005E4CB9"/>
    <w:rsid w:val="005E5AC0"/>
    <w:rsid w:val="005E6091"/>
    <w:rsid w:val="005E6210"/>
    <w:rsid w:val="005E7A80"/>
    <w:rsid w:val="005F01A0"/>
    <w:rsid w:val="005F0345"/>
    <w:rsid w:val="005F0E9D"/>
    <w:rsid w:val="005F1643"/>
    <w:rsid w:val="005F19CC"/>
    <w:rsid w:val="005F1E15"/>
    <w:rsid w:val="005F310C"/>
    <w:rsid w:val="005F34E8"/>
    <w:rsid w:val="005F3B9D"/>
    <w:rsid w:val="005F3BAB"/>
    <w:rsid w:val="005F3FDF"/>
    <w:rsid w:val="005F5DBB"/>
    <w:rsid w:val="005F7861"/>
    <w:rsid w:val="006005F7"/>
    <w:rsid w:val="00600BB1"/>
    <w:rsid w:val="00601728"/>
    <w:rsid w:val="00601D5D"/>
    <w:rsid w:val="00601EE1"/>
    <w:rsid w:val="00601F3F"/>
    <w:rsid w:val="006033BE"/>
    <w:rsid w:val="0060354E"/>
    <w:rsid w:val="00605B82"/>
    <w:rsid w:val="00607420"/>
    <w:rsid w:val="00607812"/>
    <w:rsid w:val="00607C08"/>
    <w:rsid w:val="00607CDA"/>
    <w:rsid w:val="00610EE7"/>
    <w:rsid w:val="0061147B"/>
    <w:rsid w:val="00612AB2"/>
    <w:rsid w:val="006132FE"/>
    <w:rsid w:val="006156A3"/>
    <w:rsid w:val="00617213"/>
    <w:rsid w:val="00617B10"/>
    <w:rsid w:val="00617FF5"/>
    <w:rsid w:val="00620189"/>
    <w:rsid w:val="006247B3"/>
    <w:rsid w:val="00624B22"/>
    <w:rsid w:val="00625DA1"/>
    <w:rsid w:val="00626B15"/>
    <w:rsid w:val="00626EE8"/>
    <w:rsid w:val="00630C54"/>
    <w:rsid w:val="00631129"/>
    <w:rsid w:val="006316AC"/>
    <w:rsid w:val="0063297D"/>
    <w:rsid w:val="006334EC"/>
    <w:rsid w:val="00635D42"/>
    <w:rsid w:val="00635D6E"/>
    <w:rsid w:val="00642963"/>
    <w:rsid w:val="00643397"/>
    <w:rsid w:val="006439AC"/>
    <w:rsid w:val="00643E3A"/>
    <w:rsid w:val="0064508D"/>
    <w:rsid w:val="0064613D"/>
    <w:rsid w:val="0064665B"/>
    <w:rsid w:val="00646A71"/>
    <w:rsid w:val="00646EAE"/>
    <w:rsid w:val="006472FC"/>
    <w:rsid w:val="006477E4"/>
    <w:rsid w:val="00650BD0"/>
    <w:rsid w:val="00650CA3"/>
    <w:rsid w:val="006529D8"/>
    <w:rsid w:val="0065318A"/>
    <w:rsid w:val="0065347D"/>
    <w:rsid w:val="006546E1"/>
    <w:rsid w:val="00656271"/>
    <w:rsid w:val="006566B7"/>
    <w:rsid w:val="006569E4"/>
    <w:rsid w:val="00657062"/>
    <w:rsid w:val="0065707F"/>
    <w:rsid w:val="00660D82"/>
    <w:rsid w:val="006619A9"/>
    <w:rsid w:val="00664E8F"/>
    <w:rsid w:val="0066510C"/>
    <w:rsid w:val="0066631E"/>
    <w:rsid w:val="00666716"/>
    <w:rsid w:val="00666759"/>
    <w:rsid w:val="00667F1A"/>
    <w:rsid w:val="00670655"/>
    <w:rsid w:val="00671EAC"/>
    <w:rsid w:val="00671FB0"/>
    <w:rsid w:val="00672647"/>
    <w:rsid w:val="00673791"/>
    <w:rsid w:val="00673E70"/>
    <w:rsid w:val="00674CB0"/>
    <w:rsid w:val="00675204"/>
    <w:rsid w:val="0067556C"/>
    <w:rsid w:val="00676414"/>
    <w:rsid w:val="0067693F"/>
    <w:rsid w:val="00677428"/>
    <w:rsid w:val="00681118"/>
    <w:rsid w:val="0068156B"/>
    <w:rsid w:val="006820E0"/>
    <w:rsid w:val="006832C8"/>
    <w:rsid w:val="0068340A"/>
    <w:rsid w:val="006842CE"/>
    <w:rsid w:val="00684AE6"/>
    <w:rsid w:val="0068670D"/>
    <w:rsid w:val="00686FED"/>
    <w:rsid w:val="00693BCF"/>
    <w:rsid w:val="006954A2"/>
    <w:rsid w:val="0069725A"/>
    <w:rsid w:val="006A21EC"/>
    <w:rsid w:val="006A2A43"/>
    <w:rsid w:val="006A3989"/>
    <w:rsid w:val="006A4502"/>
    <w:rsid w:val="006A57D7"/>
    <w:rsid w:val="006A5AAA"/>
    <w:rsid w:val="006A5C24"/>
    <w:rsid w:val="006A63C2"/>
    <w:rsid w:val="006A7037"/>
    <w:rsid w:val="006B0506"/>
    <w:rsid w:val="006B09D3"/>
    <w:rsid w:val="006B10DF"/>
    <w:rsid w:val="006B1F8E"/>
    <w:rsid w:val="006B24DB"/>
    <w:rsid w:val="006B2B9B"/>
    <w:rsid w:val="006B2C55"/>
    <w:rsid w:val="006B2F29"/>
    <w:rsid w:val="006B52E1"/>
    <w:rsid w:val="006B5709"/>
    <w:rsid w:val="006B58C6"/>
    <w:rsid w:val="006B69E4"/>
    <w:rsid w:val="006B6CDD"/>
    <w:rsid w:val="006C0A84"/>
    <w:rsid w:val="006C1CEA"/>
    <w:rsid w:val="006C27CF"/>
    <w:rsid w:val="006C3400"/>
    <w:rsid w:val="006C3765"/>
    <w:rsid w:val="006C3C56"/>
    <w:rsid w:val="006C5070"/>
    <w:rsid w:val="006C6C9B"/>
    <w:rsid w:val="006D0038"/>
    <w:rsid w:val="006D153A"/>
    <w:rsid w:val="006D1D2D"/>
    <w:rsid w:val="006D2854"/>
    <w:rsid w:val="006D2C34"/>
    <w:rsid w:val="006D3880"/>
    <w:rsid w:val="006D3AA9"/>
    <w:rsid w:val="006D3FA3"/>
    <w:rsid w:val="006D415F"/>
    <w:rsid w:val="006E0CAD"/>
    <w:rsid w:val="006E17B8"/>
    <w:rsid w:val="006E19C0"/>
    <w:rsid w:val="006E21BD"/>
    <w:rsid w:val="006E259E"/>
    <w:rsid w:val="006E2B1A"/>
    <w:rsid w:val="006E326E"/>
    <w:rsid w:val="006E6CA2"/>
    <w:rsid w:val="006E765A"/>
    <w:rsid w:val="006F1297"/>
    <w:rsid w:val="006F1EE3"/>
    <w:rsid w:val="006F1F7D"/>
    <w:rsid w:val="006F2B57"/>
    <w:rsid w:val="006F41EB"/>
    <w:rsid w:val="006F47F2"/>
    <w:rsid w:val="006F4904"/>
    <w:rsid w:val="006F5167"/>
    <w:rsid w:val="006F654D"/>
    <w:rsid w:val="006F6D26"/>
    <w:rsid w:val="006F7686"/>
    <w:rsid w:val="0070031F"/>
    <w:rsid w:val="00700D92"/>
    <w:rsid w:val="007019E3"/>
    <w:rsid w:val="00702CA8"/>
    <w:rsid w:val="00703760"/>
    <w:rsid w:val="007050B8"/>
    <w:rsid w:val="007065AD"/>
    <w:rsid w:val="00706809"/>
    <w:rsid w:val="00706827"/>
    <w:rsid w:val="00706A69"/>
    <w:rsid w:val="00707232"/>
    <w:rsid w:val="007076E6"/>
    <w:rsid w:val="00710569"/>
    <w:rsid w:val="00710638"/>
    <w:rsid w:val="00710CB8"/>
    <w:rsid w:val="00711A99"/>
    <w:rsid w:val="007123CC"/>
    <w:rsid w:val="00712DDC"/>
    <w:rsid w:val="0071471D"/>
    <w:rsid w:val="00714A97"/>
    <w:rsid w:val="00714FED"/>
    <w:rsid w:val="0071689B"/>
    <w:rsid w:val="0071791E"/>
    <w:rsid w:val="007208BC"/>
    <w:rsid w:val="00720D2B"/>
    <w:rsid w:val="00720F9D"/>
    <w:rsid w:val="00721BE2"/>
    <w:rsid w:val="00722639"/>
    <w:rsid w:val="007231F0"/>
    <w:rsid w:val="007236DB"/>
    <w:rsid w:val="00723C53"/>
    <w:rsid w:val="007247CF"/>
    <w:rsid w:val="007253D6"/>
    <w:rsid w:val="0072551F"/>
    <w:rsid w:val="00725EDB"/>
    <w:rsid w:val="00727618"/>
    <w:rsid w:val="00730060"/>
    <w:rsid w:val="00733927"/>
    <w:rsid w:val="00734318"/>
    <w:rsid w:val="0073541C"/>
    <w:rsid w:val="0073560B"/>
    <w:rsid w:val="00735C2E"/>
    <w:rsid w:val="00736694"/>
    <w:rsid w:val="00736CB5"/>
    <w:rsid w:val="0074064C"/>
    <w:rsid w:val="007422E1"/>
    <w:rsid w:val="007429DA"/>
    <w:rsid w:val="00743F0C"/>
    <w:rsid w:val="00743F51"/>
    <w:rsid w:val="00744575"/>
    <w:rsid w:val="00745054"/>
    <w:rsid w:val="0074783F"/>
    <w:rsid w:val="0075042E"/>
    <w:rsid w:val="007505C7"/>
    <w:rsid w:val="007518C5"/>
    <w:rsid w:val="00753454"/>
    <w:rsid w:val="00753CF8"/>
    <w:rsid w:val="0075401E"/>
    <w:rsid w:val="0075508B"/>
    <w:rsid w:val="00755189"/>
    <w:rsid w:val="0075590C"/>
    <w:rsid w:val="00756584"/>
    <w:rsid w:val="0075713F"/>
    <w:rsid w:val="0076025C"/>
    <w:rsid w:val="007622B5"/>
    <w:rsid w:val="00763197"/>
    <w:rsid w:val="0076341C"/>
    <w:rsid w:val="0076527F"/>
    <w:rsid w:val="00766622"/>
    <w:rsid w:val="00766FAE"/>
    <w:rsid w:val="00770D31"/>
    <w:rsid w:val="00771760"/>
    <w:rsid w:val="00772077"/>
    <w:rsid w:val="00772347"/>
    <w:rsid w:val="00772F61"/>
    <w:rsid w:val="007739B2"/>
    <w:rsid w:val="00774231"/>
    <w:rsid w:val="0077458B"/>
    <w:rsid w:val="00775E6D"/>
    <w:rsid w:val="0077761F"/>
    <w:rsid w:val="007802DE"/>
    <w:rsid w:val="0078060B"/>
    <w:rsid w:val="00782D41"/>
    <w:rsid w:val="00782DD4"/>
    <w:rsid w:val="007831CD"/>
    <w:rsid w:val="007831ED"/>
    <w:rsid w:val="007833A9"/>
    <w:rsid w:val="0078348B"/>
    <w:rsid w:val="007845A9"/>
    <w:rsid w:val="00785400"/>
    <w:rsid w:val="007933C4"/>
    <w:rsid w:val="00793F81"/>
    <w:rsid w:val="00795994"/>
    <w:rsid w:val="00795D7A"/>
    <w:rsid w:val="007960B6"/>
    <w:rsid w:val="00796A4D"/>
    <w:rsid w:val="0079762D"/>
    <w:rsid w:val="007A0832"/>
    <w:rsid w:val="007A388C"/>
    <w:rsid w:val="007A44D3"/>
    <w:rsid w:val="007A4AF7"/>
    <w:rsid w:val="007A4CEA"/>
    <w:rsid w:val="007A5536"/>
    <w:rsid w:val="007A5710"/>
    <w:rsid w:val="007A5C04"/>
    <w:rsid w:val="007A6195"/>
    <w:rsid w:val="007A6216"/>
    <w:rsid w:val="007A6523"/>
    <w:rsid w:val="007A712D"/>
    <w:rsid w:val="007A7743"/>
    <w:rsid w:val="007B0B31"/>
    <w:rsid w:val="007B0BB9"/>
    <w:rsid w:val="007B1057"/>
    <w:rsid w:val="007B3414"/>
    <w:rsid w:val="007B390F"/>
    <w:rsid w:val="007B3D2F"/>
    <w:rsid w:val="007B511C"/>
    <w:rsid w:val="007B5C5F"/>
    <w:rsid w:val="007B6F09"/>
    <w:rsid w:val="007B7100"/>
    <w:rsid w:val="007B75DB"/>
    <w:rsid w:val="007B77DF"/>
    <w:rsid w:val="007C02FB"/>
    <w:rsid w:val="007C045E"/>
    <w:rsid w:val="007C054B"/>
    <w:rsid w:val="007C0C85"/>
    <w:rsid w:val="007C127F"/>
    <w:rsid w:val="007C14B9"/>
    <w:rsid w:val="007C1C0B"/>
    <w:rsid w:val="007C211A"/>
    <w:rsid w:val="007C2142"/>
    <w:rsid w:val="007C22CF"/>
    <w:rsid w:val="007C2A80"/>
    <w:rsid w:val="007C2B27"/>
    <w:rsid w:val="007C2B2D"/>
    <w:rsid w:val="007C387D"/>
    <w:rsid w:val="007C4ABF"/>
    <w:rsid w:val="007C4B1E"/>
    <w:rsid w:val="007C5283"/>
    <w:rsid w:val="007C53D7"/>
    <w:rsid w:val="007C590D"/>
    <w:rsid w:val="007C636D"/>
    <w:rsid w:val="007C6ACE"/>
    <w:rsid w:val="007C7369"/>
    <w:rsid w:val="007C7D72"/>
    <w:rsid w:val="007D0B97"/>
    <w:rsid w:val="007D0E2F"/>
    <w:rsid w:val="007D15F5"/>
    <w:rsid w:val="007D1709"/>
    <w:rsid w:val="007D242A"/>
    <w:rsid w:val="007D24FF"/>
    <w:rsid w:val="007D2C6E"/>
    <w:rsid w:val="007D52BF"/>
    <w:rsid w:val="007E0B43"/>
    <w:rsid w:val="007E161C"/>
    <w:rsid w:val="007E1F09"/>
    <w:rsid w:val="007E2553"/>
    <w:rsid w:val="007E2A22"/>
    <w:rsid w:val="007E3FF3"/>
    <w:rsid w:val="007E4331"/>
    <w:rsid w:val="007E4AE8"/>
    <w:rsid w:val="007E4BDB"/>
    <w:rsid w:val="007E50C2"/>
    <w:rsid w:val="007E5E84"/>
    <w:rsid w:val="007E6052"/>
    <w:rsid w:val="007E7305"/>
    <w:rsid w:val="007E7E8F"/>
    <w:rsid w:val="007F05EA"/>
    <w:rsid w:val="007F1081"/>
    <w:rsid w:val="007F18D8"/>
    <w:rsid w:val="007F1C4C"/>
    <w:rsid w:val="007F1D0F"/>
    <w:rsid w:val="007F1D29"/>
    <w:rsid w:val="007F4CFA"/>
    <w:rsid w:val="007F4D02"/>
    <w:rsid w:val="007F6118"/>
    <w:rsid w:val="007F6A4B"/>
    <w:rsid w:val="007F6C8D"/>
    <w:rsid w:val="008011C0"/>
    <w:rsid w:val="0080315D"/>
    <w:rsid w:val="008040EC"/>
    <w:rsid w:val="008045D6"/>
    <w:rsid w:val="00804A29"/>
    <w:rsid w:val="00804B7F"/>
    <w:rsid w:val="0080532C"/>
    <w:rsid w:val="0080583D"/>
    <w:rsid w:val="00806716"/>
    <w:rsid w:val="00806B50"/>
    <w:rsid w:val="00807027"/>
    <w:rsid w:val="00807505"/>
    <w:rsid w:val="0080751D"/>
    <w:rsid w:val="00811A8A"/>
    <w:rsid w:val="00812268"/>
    <w:rsid w:val="00812371"/>
    <w:rsid w:val="008151C6"/>
    <w:rsid w:val="00815578"/>
    <w:rsid w:val="00815AEF"/>
    <w:rsid w:val="00815E18"/>
    <w:rsid w:val="00816F9E"/>
    <w:rsid w:val="008201EF"/>
    <w:rsid w:val="00820773"/>
    <w:rsid w:val="00820BAC"/>
    <w:rsid w:val="00821745"/>
    <w:rsid w:val="00822185"/>
    <w:rsid w:val="00823355"/>
    <w:rsid w:val="00824033"/>
    <w:rsid w:val="00824CBF"/>
    <w:rsid w:val="00825325"/>
    <w:rsid w:val="00826834"/>
    <w:rsid w:val="00827552"/>
    <w:rsid w:val="00827948"/>
    <w:rsid w:val="008300D8"/>
    <w:rsid w:val="008303A4"/>
    <w:rsid w:val="008305D9"/>
    <w:rsid w:val="008322C5"/>
    <w:rsid w:val="0083264F"/>
    <w:rsid w:val="0083462F"/>
    <w:rsid w:val="00835145"/>
    <w:rsid w:val="00835279"/>
    <w:rsid w:val="00835482"/>
    <w:rsid w:val="00835E58"/>
    <w:rsid w:val="00836D39"/>
    <w:rsid w:val="008377F8"/>
    <w:rsid w:val="00837C11"/>
    <w:rsid w:val="00840171"/>
    <w:rsid w:val="008405B3"/>
    <w:rsid w:val="00840BF6"/>
    <w:rsid w:val="00841CAB"/>
    <w:rsid w:val="00842D1B"/>
    <w:rsid w:val="00844186"/>
    <w:rsid w:val="00844F64"/>
    <w:rsid w:val="008450CF"/>
    <w:rsid w:val="008457A9"/>
    <w:rsid w:val="00847BE9"/>
    <w:rsid w:val="0085150D"/>
    <w:rsid w:val="00851683"/>
    <w:rsid w:val="00851D26"/>
    <w:rsid w:val="0085376B"/>
    <w:rsid w:val="00853C05"/>
    <w:rsid w:val="00854310"/>
    <w:rsid w:val="00854EFB"/>
    <w:rsid w:val="00855B4A"/>
    <w:rsid w:val="00860733"/>
    <w:rsid w:val="00860846"/>
    <w:rsid w:val="008624CF"/>
    <w:rsid w:val="00862CE8"/>
    <w:rsid w:val="00863133"/>
    <w:rsid w:val="008644CA"/>
    <w:rsid w:val="00864DFE"/>
    <w:rsid w:val="00865878"/>
    <w:rsid w:val="00865A7D"/>
    <w:rsid w:val="00865C31"/>
    <w:rsid w:val="00866689"/>
    <w:rsid w:val="00867527"/>
    <w:rsid w:val="00867D84"/>
    <w:rsid w:val="008706DF"/>
    <w:rsid w:val="00871447"/>
    <w:rsid w:val="008722B7"/>
    <w:rsid w:val="00873025"/>
    <w:rsid w:val="00873BC5"/>
    <w:rsid w:val="00873BC8"/>
    <w:rsid w:val="00874B61"/>
    <w:rsid w:val="00875553"/>
    <w:rsid w:val="0087616A"/>
    <w:rsid w:val="00876DA5"/>
    <w:rsid w:val="0087713B"/>
    <w:rsid w:val="00877300"/>
    <w:rsid w:val="00877867"/>
    <w:rsid w:val="00880187"/>
    <w:rsid w:val="00880E2C"/>
    <w:rsid w:val="0088235B"/>
    <w:rsid w:val="008844EF"/>
    <w:rsid w:val="00884C3C"/>
    <w:rsid w:val="00884D18"/>
    <w:rsid w:val="00885A25"/>
    <w:rsid w:val="00885B01"/>
    <w:rsid w:val="0088613A"/>
    <w:rsid w:val="008867D5"/>
    <w:rsid w:val="00886E1E"/>
    <w:rsid w:val="00886F37"/>
    <w:rsid w:val="00890151"/>
    <w:rsid w:val="0089043D"/>
    <w:rsid w:val="0089334D"/>
    <w:rsid w:val="00894257"/>
    <w:rsid w:val="00894471"/>
    <w:rsid w:val="00895558"/>
    <w:rsid w:val="0089632A"/>
    <w:rsid w:val="0089675E"/>
    <w:rsid w:val="00896973"/>
    <w:rsid w:val="00896A4A"/>
    <w:rsid w:val="008A08F1"/>
    <w:rsid w:val="008A15A3"/>
    <w:rsid w:val="008A33EE"/>
    <w:rsid w:val="008A39E1"/>
    <w:rsid w:val="008A4633"/>
    <w:rsid w:val="008A47BB"/>
    <w:rsid w:val="008A5D63"/>
    <w:rsid w:val="008A7ECB"/>
    <w:rsid w:val="008B2515"/>
    <w:rsid w:val="008B2649"/>
    <w:rsid w:val="008B2861"/>
    <w:rsid w:val="008B2E3C"/>
    <w:rsid w:val="008B3ACF"/>
    <w:rsid w:val="008B5731"/>
    <w:rsid w:val="008C04AE"/>
    <w:rsid w:val="008C0878"/>
    <w:rsid w:val="008C0A2E"/>
    <w:rsid w:val="008C2736"/>
    <w:rsid w:val="008C2D2F"/>
    <w:rsid w:val="008C43E3"/>
    <w:rsid w:val="008C4940"/>
    <w:rsid w:val="008C5124"/>
    <w:rsid w:val="008C5902"/>
    <w:rsid w:val="008C5A63"/>
    <w:rsid w:val="008C6387"/>
    <w:rsid w:val="008D0EFD"/>
    <w:rsid w:val="008D266F"/>
    <w:rsid w:val="008D2853"/>
    <w:rsid w:val="008D358A"/>
    <w:rsid w:val="008D4294"/>
    <w:rsid w:val="008D45CC"/>
    <w:rsid w:val="008D59A2"/>
    <w:rsid w:val="008D6B0F"/>
    <w:rsid w:val="008D714D"/>
    <w:rsid w:val="008D77FD"/>
    <w:rsid w:val="008D7A49"/>
    <w:rsid w:val="008D7FE1"/>
    <w:rsid w:val="008E0157"/>
    <w:rsid w:val="008E13D4"/>
    <w:rsid w:val="008E15D7"/>
    <w:rsid w:val="008E2DCE"/>
    <w:rsid w:val="008E443D"/>
    <w:rsid w:val="008E54C0"/>
    <w:rsid w:val="008E5B7C"/>
    <w:rsid w:val="008E6219"/>
    <w:rsid w:val="008F059E"/>
    <w:rsid w:val="008F09C1"/>
    <w:rsid w:val="008F14F7"/>
    <w:rsid w:val="008F2008"/>
    <w:rsid w:val="008F2CB0"/>
    <w:rsid w:val="008F2E64"/>
    <w:rsid w:val="008F4D24"/>
    <w:rsid w:val="008F5899"/>
    <w:rsid w:val="008F67DF"/>
    <w:rsid w:val="008F6841"/>
    <w:rsid w:val="008F6AEC"/>
    <w:rsid w:val="008F6D34"/>
    <w:rsid w:val="00900613"/>
    <w:rsid w:val="00900BFF"/>
    <w:rsid w:val="00901DBA"/>
    <w:rsid w:val="00902070"/>
    <w:rsid w:val="00902540"/>
    <w:rsid w:val="009027DB"/>
    <w:rsid w:val="0090337A"/>
    <w:rsid w:val="00903481"/>
    <w:rsid w:val="00904107"/>
    <w:rsid w:val="0090506C"/>
    <w:rsid w:val="0090522D"/>
    <w:rsid w:val="00907194"/>
    <w:rsid w:val="009077E8"/>
    <w:rsid w:val="00907DD7"/>
    <w:rsid w:val="00910C93"/>
    <w:rsid w:val="00912633"/>
    <w:rsid w:val="00913B6A"/>
    <w:rsid w:val="00914E00"/>
    <w:rsid w:val="0091594F"/>
    <w:rsid w:val="009162A6"/>
    <w:rsid w:val="00916590"/>
    <w:rsid w:val="00917B10"/>
    <w:rsid w:val="009200B5"/>
    <w:rsid w:val="0092027D"/>
    <w:rsid w:val="009212B1"/>
    <w:rsid w:val="00925300"/>
    <w:rsid w:val="00926213"/>
    <w:rsid w:val="00927D4C"/>
    <w:rsid w:val="00927E14"/>
    <w:rsid w:val="00927E1D"/>
    <w:rsid w:val="0093073B"/>
    <w:rsid w:val="0093123A"/>
    <w:rsid w:val="00931D22"/>
    <w:rsid w:val="00932A60"/>
    <w:rsid w:val="009345C6"/>
    <w:rsid w:val="009346DF"/>
    <w:rsid w:val="0093509A"/>
    <w:rsid w:val="00935C02"/>
    <w:rsid w:val="00935CF4"/>
    <w:rsid w:val="009362AC"/>
    <w:rsid w:val="009374DB"/>
    <w:rsid w:val="00941052"/>
    <w:rsid w:val="00941BBC"/>
    <w:rsid w:val="00944049"/>
    <w:rsid w:val="00944D9D"/>
    <w:rsid w:val="00946543"/>
    <w:rsid w:val="0094668C"/>
    <w:rsid w:val="00946C9D"/>
    <w:rsid w:val="009501C2"/>
    <w:rsid w:val="00951049"/>
    <w:rsid w:val="00951200"/>
    <w:rsid w:val="00951269"/>
    <w:rsid w:val="0095135C"/>
    <w:rsid w:val="00951852"/>
    <w:rsid w:val="00951DB2"/>
    <w:rsid w:val="0095201C"/>
    <w:rsid w:val="00952D20"/>
    <w:rsid w:val="00954023"/>
    <w:rsid w:val="00954893"/>
    <w:rsid w:val="00954C0C"/>
    <w:rsid w:val="00954D2A"/>
    <w:rsid w:val="00954DE6"/>
    <w:rsid w:val="009552F3"/>
    <w:rsid w:val="0095588B"/>
    <w:rsid w:val="00956426"/>
    <w:rsid w:val="0095688F"/>
    <w:rsid w:val="00956A0B"/>
    <w:rsid w:val="00960076"/>
    <w:rsid w:val="009602F9"/>
    <w:rsid w:val="0096165F"/>
    <w:rsid w:val="00961D6C"/>
    <w:rsid w:val="00961F84"/>
    <w:rsid w:val="00962754"/>
    <w:rsid w:val="00963120"/>
    <w:rsid w:val="009637F4"/>
    <w:rsid w:val="009645FC"/>
    <w:rsid w:val="00964D0C"/>
    <w:rsid w:val="00965CD9"/>
    <w:rsid w:val="00966625"/>
    <w:rsid w:val="00966A4E"/>
    <w:rsid w:val="00967497"/>
    <w:rsid w:val="00967844"/>
    <w:rsid w:val="00967D47"/>
    <w:rsid w:val="00970C4A"/>
    <w:rsid w:val="00970E82"/>
    <w:rsid w:val="00971276"/>
    <w:rsid w:val="0097153A"/>
    <w:rsid w:val="00971D74"/>
    <w:rsid w:val="00971DF9"/>
    <w:rsid w:val="009738C8"/>
    <w:rsid w:val="00973B7D"/>
    <w:rsid w:val="009744CD"/>
    <w:rsid w:val="00974B91"/>
    <w:rsid w:val="00976F4B"/>
    <w:rsid w:val="009770D6"/>
    <w:rsid w:val="00980FEE"/>
    <w:rsid w:val="009810D3"/>
    <w:rsid w:val="00982210"/>
    <w:rsid w:val="0098482B"/>
    <w:rsid w:val="00985B47"/>
    <w:rsid w:val="009861A9"/>
    <w:rsid w:val="00987E40"/>
    <w:rsid w:val="009907B8"/>
    <w:rsid w:val="00990B5F"/>
    <w:rsid w:val="00990F9A"/>
    <w:rsid w:val="0099181B"/>
    <w:rsid w:val="00992DA9"/>
    <w:rsid w:val="009949D2"/>
    <w:rsid w:val="00996DA9"/>
    <w:rsid w:val="00997F88"/>
    <w:rsid w:val="009A044A"/>
    <w:rsid w:val="009A0A5A"/>
    <w:rsid w:val="009A24C5"/>
    <w:rsid w:val="009A387F"/>
    <w:rsid w:val="009A4C00"/>
    <w:rsid w:val="009A566C"/>
    <w:rsid w:val="009A5988"/>
    <w:rsid w:val="009A5BF2"/>
    <w:rsid w:val="009A74D4"/>
    <w:rsid w:val="009A76D9"/>
    <w:rsid w:val="009B0CF6"/>
    <w:rsid w:val="009B0F9A"/>
    <w:rsid w:val="009B136A"/>
    <w:rsid w:val="009B1F7E"/>
    <w:rsid w:val="009B33FA"/>
    <w:rsid w:val="009B3B83"/>
    <w:rsid w:val="009B3EF2"/>
    <w:rsid w:val="009B6DEA"/>
    <w:rsid w:val="009C1035"/>
    <w:rsid w:val="009C3848"/>
    <w:rsid w:val="009C4367"/>
    <w:rsid w:val="009C466B"/>
    <w:rsid w:val="009D129F"/>
    <w:rsid w:val="009D2149"/>
    <w:rsid w:val="009D395C"/>
    <w:rsid w:val="009D51F1"/>
    <w:rsid w:val="009D53B8"/>
    <w:rsid w:val="009D714D"/>
    <w:rsid w:val="009D732D"/>
    <w:rsid w:val="009E0245"/>
    <w:rsid w:val="009E1DF9"/>
    <w:rsid w:val="009E274F"/>
    <w:rsid w:val="009E36AE"/>
    <w:rsid w:val="009E3B4B"/>
    <w:rsid w:val="009E4877"/>
    <w:rsid w:val="009E51B7"/>
    <w:rsid w:val="009E6656"/>
    <w:rsid w:val="009E6B20"/>
    <w:rsid w:val="009E6CB4"/>
    <w:rsid w:val="009F0323"/>
    <w:rsid w:val="009F0755"/>
    <w:rsid w:val="009F1A66"/>
    <w:rsid w:val="009F3383"/>
    <w:rsid w:val="009F3BD8"/>
    <w:rsid w:val="009F3DE2"/>
    <w:rsid w:val="009F5792"/>
    <w:rsid w:val="009F5A85"/>
    <w:rsid w:val="009F7CF4"/>
    <w:rsid w:val="00A004DA"/>
    <w:rsid w:val="00A014EE"/>
    <w:rsid w:val="00A01E76"/>
    <w:rsid w:val="00A03C27"/>
    <w:rsid w:val="00A04477"/>
    <w:rsid w:val="00A04985"/>
    <w:rsid w:val="00A050CE"/>
    <w:rsid w:val="00A05189"/>
    <w:rsid w:val="00A05896"/>
    <w:rsid w:val="00A06770"/>
    <w:rsid w:val="00A0682B"/>
    <w:rsid w:val="00A06B09"/>
    <w:rsid w:val="00A07466"/>
    <w:rsid w:val="00A075D2"/>
    <w:rsid w:val="00A077D5"/>
    <w:rsid w:val="00A10870"/>
    <w:rsid w:val="00A11A1E"/>
    <w:rsid w:val="00A11DC0"/>
    <w:rsid w:val="00A1283E"/>
    <w:rsid w:val="00A12BBD"/>
    <w:rsid w:val="00A1430F"/>
    <w:rsid w:val="00A147F9"/>
    <w:rsid w:val="00A15BEE"/>
    <w:rsid w:val="00A15F61"/>
    <w:rsid w:val="00A1633D"/>
    <w:rsid w:val="00A16467"/>
    <w:rsid w:val="00A166DC"/>
    <w:rsid w:val="00A17B9C"/>
    <w:rsid w:val="00A17E6D"/>
    <w:rsid w:val="00A17EDA"/>
    <w:rsid w:val="00A20877"/>
    <w:rsid w:val="00A22416"/>
    <w:rsid w:val="00A2266C"/>
    <w:rsid w:val="00A2329F"/>
    <w:rsid w:val="00A23DA1"/>
    <w:rsid w:val="00A24231"/>
    <w:rsid w:val="00A25813"/>
    <w:rsid w:val="00A258B1"/>
    <w:rsid w:val="00A25D25"/>
    <w:rsid w:val="00A2683B"/>
    <w:rsid w:val="00A273CB"/>
    <w:rsid w:val="00A2755B"/>
    <w:rsid w:val="00A27BFD"/>
    <w:rsid w:val="00A30509"/>
    <w:rsid w:val="00A310A3"/>
    <w:rsid w:val="00A314D2"/>
    <w:rsid w:val="00A31CB2"/>
    <w:rsid w:val="00A32585"/>
    <w:rsid w:val="00A331C7"/>
    <w:rsid w:val="00A333C0"/>
    <w:rsid w:val="00A34CC9"/>
    <w:rsid w:val="00A36A44"/>
    <w:rsid w:val="00A372E3"/>
    <w:rsid w:val="00A41A94"/>
    <w:rsid w:val="00A41D14"/>
    <w:rsid w:val="00A42EC8"/>
    <w:rsid w:val="00A43031"/>
    <w:rsid w:val="00A43D4D"/>
    <w:rsid w:val="00A43F42"/>
    <w:rsid w:val="00A4430B"/>
    <w:rsid w:val="00A44662"/>
    <w:rsid w:val="00A45A07"/>
    <w:rsid w:val="00A46FE2"/>
    <w:rsid w:val="00A50345"/>
    <w:rsid w:val="00A50677"/>
    <w:rsid w:val="00A50DBE"/>
    <w:rsid w:val="00A51B6F"/>
    <w:rsid w:val="00A51D4E"/>
    <w:rsid w:val="00A52479"/>
    <w:rsid w:val="00A5324D"/>
    <w:rsid w:val="00A5336D"/>
    <w:rsid w:val="00A54210"/>
    <w:rsid w:val="00A54953"/>
    <w:rsid w:val="00A554BB"/>
    <w:rsid w:val="00A56B1F"/>
    <w:rsid w:val="00A575B3"/>
    <w:rsid w:val="00A61478"/>
    <w:rsid w:val="00A623E2"/>
    <w:rsid w:val="00A62F56"/>
    <w:rsid w:val="00A641A8"/>
    <w:rsid w:val="00A64663"/>
    <w:rsid w:val="00A657A8"/>
    <w:rsid w:val="00A65967"/>
    <w:rsid w:val="00A65F10"/>
    <w:rsid w:val="00A669D2"/>
    <w:rsid w:val="00A674C8"/>
    <w:rsid w:val="00A677F9"/>
    <w:rsid w:val="00A70F0B"/>
    <w:rsid w:val="00A71CD5"/>
    <w:rsid w:val="00A71DF4"/>
    <w:rsid w:val="00A72BD1"/>
    <w:rsid w:val="00A763C6"/>
    <w:rsid w:val="00A77E95"/>
    <w:rsid w:val="00A77FE1"/>
    <w:rsid w:val="00A80B8F"/>
    <w:rsid w:val="00A830A8"/>
    <w:rsid w:val="00A83B24"/>
    <w:rsid w:val="00A840C2"/>
    <w:rsid w:val="00A86425"/>
    <w:rsid w:val="00A90757"/>
    <w:rsid w:val="00A9081F"/>
    <w:rsid w:val="00A90A20"/>
    <w:rsid w:val="00A90EE2"/>
    <w:rsid w:val="00A9197A"/>
    <w:rsid w:val="00A91BF8"/>
    <w:rsid w:val="00A9217D"/>
    <w:rsid w:val="00A92E41"/>
    <w:rsid w:val="00A94D63"/>
    <w:rsid w:val="00A95676"/>
    <w:rsid w:val="00A95A5D"/>
    <w:rsid w:val="00AA050C"/>
    <w:rsid w:val="00AA0B15"/>
    <w:rsid w:val="00AA1CA0"/>
    <w:rsid w:val="00AA24E7"/>
    <w:rsid w:val="00AA28BF"/>
    <w:rsid w:val="00AA344A"/>
    <w:rsid w:val="00AA3D28"/>
    <w:rsid w:val="00AA4EAA"/>
    <w:rsid w:val="00AA5F43"/>
    <w:rsid w:val="00AA7856"/>
    <w:rsid w:val="00AB1EC9"/>
    <w:rsid w:val="00AB243A"/>
    <w:rsid w:val="00AB2A82"/>
    <w:rsid w:val="00AB3362"/>
    <w:rsid w:val="00AB33B9"/>
    <w:rsid w:val="00AB48E8"/>
    <w:rsid w:val="00AB5777"/>
    <w:rsid w:val="00AB5DE6"/>
    <w:rsid w:val="00AB633E"/>
    <w:rsid w:val="00AB63D8"/>
    <w:rsid w:val="00AB754C"/>
    <w:rsid w:val="00AC05A4"/>
    <w:rsid w:val="00AC1608"/>
    <w:rsid w:val="00AC3AED"/>
    <w:rsid w:val="00AC4179"/>
    <w:rsid w:val="00AC6928"/>
    <w:rsid w:val="00AC765E"/>
    <w:rsid w:val="00AC767B"/>
    <w:rsid w:val="00AC7E71"/>
    <w:rsid w:val="00AC7FF1"/>
    <w:rsid w:val="00AD0F3C"/>
    <w:rsid w:val="00AD2E18"/>
    <w:rsid w:val="00AD33EE"/>
    <w:rsid w:val="00AD457A"/>
    <w:rsid w:val="00AD4A0E"/>
    <w:rsid w:val="00AD4A32"/>
    <w:rsid w:val="00AD4CDD"/>
    <w:rsid w:val="00AD5974"/>
    <w:rsid w:val="00AD67E4"/>
    <w:rsid w:val="00AE01AD"/>
    <w:rsid w:val="00AE0352"/>
    <w:rsid w:val="00AE0710"/>
    <w:rsid w:val="00AE0ECD"/>
    <w:rsid w:val="00AE15EA"/>
    <w:rsid w:val="00AE24C8"/>
    <w:rsid w:val="00AE251F"/>
    <w:rsid w:val="00AE2E57"/>
    <w:rsid w:val="00AE783F"/>
    <w:rsid w:val="00AF0333"/>
    <w:rsid w:val="00AF3075"/>
    <w:rsid w:val="00AF31D2"/>
    <w:rsid w:val="00AF3F38"/>
    <w:rsid w:val="00B01049"/>
    <w:rsid w:val="00B014B4"/>
    <w:rsid w:val="00B03046"/>
    <w:rsid w:val="00B03866"/>
    <w:rsid w:val="00B03F60"/>
    <w:rsid w:val="00B05AE5"/>
    <w:rsid w:val="00B060EB"/>
    <w:rsid w:val="00B06318"/>
    <w:rsid w:val="00B06E06"/>
    <w:rsid w:val="00B06E29"/>
    <w:rsid w:val="00B07580"/>
    <w:rsid w:val="00B0788D"/>
    <w:rsid w:val="00B07D60"/>
    <w:rsid w:val="00B1064D"/>
    <w:rsid w:val="00B108B1"/>
    <w:rsid w:val="00B117E3"/>
    <w:rsid w:val="00B11B7B"/>
    <w:rsid w:val="00B14F24"/>
    <w:rsid w:val="00B157C6"/>
    <w:rsid w:val="00B15C4D"/>
    <w:rsid w:val="00B1682C"/>
    <w:rsid w:val="00B1688C"/>
    <w:rsid w:val="00B1705F"/>
    <w:rsid w:val="00B170AF"/>
    <w:rsid w:val="00B175BD"/>
    <w:rsid w:val="00B176C0"/>
    <w:rsid w:val="00B1770A"/>
    <w:rsid w:val="00B17B3B"/>
    <w:rsid w:val="00B17C54"/>
    <w:rsid w:val="00B17E5C"/>
    <w:rsid w:val="00B2039B"/>
    <w:rsid w:val="00B2355F"/>
    <w:rsid w:val="00B25BD5"/>
    <w:rsid w:val="00B27C02"/>
    <w:rsid w:val="00B30060"/>
    <w:rsid w:val="00B300CB"/>
    <w:rsid w:val="00B31783"/>
    <w:rsid w:val="00B32E15"/>
    <w:rsid w:val="00B33655"/>
    <w:rsid w:val="00B3369F"/>
    <w:rsid w:val="00B33BD5"/>
    <w:rsid w:val="00B34F46"/>
    <w:rsid w:val="00B413B9"/>
    <w:rsid w:val="00B41704"/>
    <w:rsid w:val="00B41DF8"/>
    <w:rsid w:val="00B42458"/>
    <w:rsid w:val="00B44C7E"/>
    <w:rsid w:val="00B45BF6"/>
    <w:rsid w:val="00B46EE5"/>
    <w:rsid w:val="00B471CB"/>
    <w:rsid w:val="00B472CC"/>
    <w:rsid w:val="00B4769F"/>
    <w:rsid w:val="00B501CE"/>
    <w:rsid w:val="00B514C5"/>
    <w:rsid w:val="00B51619"/>
    <w:rsid w:val="00B5204C"/>
    <w:rsid w:val="00B53DCE"/>
    <w:rsid w:val="00B541F6"/>
    <w:rsid w:val="00B54389"/>
    <w:rsid w:val="00B54951"/>
    <w:rsid w:val="00B55E88"/>
    <w:rsid w:val="00B5604E"/>
    <w:rsid w:val="00B56BAD"/>
    <w:rsid w:val="00B56D80"/>
    <w:rsid w:val="00B574F4"/>
    <w:rsid w:val="00B57A45"/>
    <w:rsid w:val="00B62F8C"/>
    <w:rsid w:val="00B6339D"/>
    <w:rsid w:val="00B637DE"/>
    <w:rsid w:val="00B71734"/>
    <w:rsid w:val="00B71B8C"/>
    <w:rsid w:val="00B75991"/>
    <w:rsid w:val="00B765B7"/>
    <w:rsid w:val="00B77127"/>
    <w:rsid w:val="00B81324"/>
    <w:rsid w:val="00B83CAA"/>
    <w:rsid w:val="00B83CBD"/>
    <w:rsid w:val="00B866A4"/>
    <w:rsid w:val="00B86D18"/>
    <w:rsid w:val="00B87031"/>
    <w:rsid w:val="00B87BFF"/>
    <w:rsid w:val="00B9118E"/>
    <w:rsid w:val="00B91BA0"/>
    <w:rsid w:val="00B929F4"/>
    <w:rsid w:val="00B92D66"/>
    <w:rsid w:val="00B95442"/>
    <w:rsid w:val="00B960B8"/>
    <w:rsid w:val="00BA08F8"/>
    <w:rsid w:val="00BA0DED"/>
    <w:rsid w:val="00BA1C46"/>
    <w:rsid w:val="00BA3708"/>
    <w:rsid w:val="00BA39A1"/>
    <w:rsid w:val="00BA3E0B"/>
    <w:rsid w:val="00BA547B"/>
    <w:rsid w:val="00BA63A3"/>
    <w:rsid w:val="00BB0A11"/>
    <w:rsid w:val="00BB1608"/>
    <w:rsid w:val="00BB295A"/>
    <w:rsid w:val="00BB2B5F"/>
    <w:rsid w:val="00BB2D7F"/>
    <w:rsid w:val="00BB388C"/>
    <w:rsid w:val="00BB44B3"/>
    <w:rsid w:val="00BB5617"/>
    <w:rsid w:val="00BB5F39"/>
    <w:rsid w:val="00BB612A"/>
    <w:rsid w:val="00BB762D"/>
    <w:rsid w:val="00BC016B"/>
    <w:rsid w:val="00BC0E51"/>
    <w:rsid w:val="00BC2A49"/>
    <w:rsid w:val="00BC3B79"/>
    <w:rsid w:val="00BC4952"/>
    <w:rsid w:val="00BC5644"/>
    <w:rsid w:val="00BC75FD"/>
    <w:rsid w:val="00BC769B"/>
    <w:rsid w:val="00BC79D7"/>
    <w:rsid w:val="00BC7CB3"/>
    <w:rsid w:val="00BD0036"/>
    <w:rsid w:val="00BD0C2B"/>
    <w:rsid w:val="00BD1B0E"/>
    <w:rsid w:val="00BD1F4F"/>
    <w:rsid w:val="00BD554A"/>
    <w:rsid w:val="00BD6793"/>
    <w:rsid w:val="00BD75E5"/>
    <w:rsid w:val="00BD7898"/>
    <w:rsid w:val="00BD7D42"/>
    <w:rsid w:val="00BE1347"/>
    <w:rsid w:val="00BE2F41"/>
    <w:rsid w:val="00BE3030"/>
    <w:rsid w:val="00BE367D"/>
    <w:rsid w:val="00BE4C32"/>
    <w:rsid w:val="00BE5EAE"/>
    <w:rsid w:val="00BE5EBC"/>
    <w:rsid w:val="00BE6810"/>
    <w:rsid w:val="00BE7494"/>
    <w:rsid w:val="00BE74AF"/>
    <w:rsid w:val="00BE74EE"/>
    <w:rsid w:val="00BE77C7"/>
    <w:rsid w:val="00BE7CCA"/>
    <w:rsid w:val="00BE7D78"/>
    <w:rsid w:val="00BF00E4"/>
    <w:rsid w:val="00BF0BCF"/>
    <w:rsid w:val="00BF0D88"/>
    <w:rsid w:val="00BF1141"/>
    <w:rsid w:val="00BF16BA"/>
    <w:rsid w:val="00BF1A28"/>
    <w:rsid w:val="00BF268F"/>
    <w:rsid w:val="00BF2BEA"/>
    <w:rsid w:val="00BF361C"/>
    <w:rsid w:val="00BF4166"/>
    <w:rsid w:val="00BF458B"/>
    <w:rsid w:val="00BF4E21"/>
    <w:rsid w:val="00BF6B89"/>
    <w:rsid w:val="00BF702F"/>
    <w:rsid w:val="00BF71D0"/>
    <w:rsid w:val="00BF7F91"/>
    <w:rsid w:val="00C000A0"/>
    <w:rsid w:val="00C0071A"/>
    <w:rsid w:val="00C00811"/>
    <w:rsid w:val="00C009C1"/>
    <w:rsid w:val="00C02101"/>
    <w:rsid w:val="00C07366"/>
    <w:rsid w:val="00C07749"/>
    <w:rsid w:val="00C07E9D"/>
    <w:rsid w:val="00C10576"/>
    <w:rsid w:val="00C107CF"/>
    <w:rsid w:val="00C123D4"/>
    <w:rsid w:val="00C13198"/>
    <w:rsid w:val="00C14315"/>
    <w:rsid w:val="00C1519A"/>
    <w:rsid w:val="00C16179"/>
    <w:rsid w:val="00C16335"/>
    <w:rsid w:val="00C174AD"/>
    <w:rsid w:val="00C202A0"/>
    <w:rsid w:val="00C2031D"/>
    <w:rsid w:val="00C219F3"/>
    <w:rsid w:val="00C22094"/>
    <w:rsid w:val="00C22513"/>
    <w:rsid w:val="00C24B18"/>
    <w:rsid w:val="00C252A3"/>
    <w:rsid w:val="00C25A28"/>
    <w:rsid w:val="00C25EC1"/>
    <w:rsid w:val="00C26736"/>
    <w:rsid w:val="00C26BCD"/>
    <w:rsid w:val="00C27087"/>
    <w:rsid w:val="00C3019E"/>
    <w:rsid w:val="00C316C1"/>
    <w:rsid w:val="00C32366"/>
    <w:rsid w:val="00C328B0"/>
    <w:rsid w:val="00C33426"/>
    <w:rsid w:val="00C3362D"/>
    <w:rsid w:val="00C346F2"/>
    <w:rsid w:val="00C34FBE"/>
    <w:rsid w:val="00C35368"/>
    <w:rsid w:val="00C36380"/>
    <w:rsid w:val="00C37583"/>
    <w:rsid w:val="00C410E4"/>
    <w:rsid w:val="00C4165B"/>
    <w:rsid w:val="00C420E5"/>
    <w:rsid w:val="00C43799"/>
    <w:rsid w:val="00C45CFE"/>
    <w:rsid w:val="00C46514"/>
    <w:rsid w:val="00C46695"/>
    <w:rsid w:val="00C466B2"/>
    <w:rsid w:val="00C503E3"/>
    <w:rsid w:val="00C51D0E"/>
    <w:rsid w:val="00C54466"/>
    <w:rsid w:val="00C55332"/>
    <w:rsid w:val="00C56725"/>
    <w:rsid w:val="00C56AA8"/>
    <w:rsid w:val="00C5795B"/>
    <w:rsid w:val="00C57FE5"/>
    <w:rsid w:val="00C60A6D"/>
    <w:rsid w:val="00C621FC"/>
    <w:rsid w:val="00C65422"/>
    <w:rsid w:val="00C65F59"/>
    <w:rsid w:val="00C6761A"/>
    <w:rsid w:val="00C67FA1"/>
    <w:rsid w:val="00C70584"/>
    <w:rsid w:val="00C70C91"/>
    <w:rsid w:val="00C71E70"/>
    <w:rsid w:val="00C745A9"/>
    <w:rsid w:val="00C74EA3"/>
    <w:rsid w:val="00C758AE"/>
    <w:rsid w:val="00C76614"/>
    <w:rsid w:val="00C803D0"/>
    <w:rsid w:val="00C80B55"/>
    <w:rsid w:val="00C84075"/>
    <w:rsid w:val="00C84791"/>
    <w:rsid w:val="00C85B31"/>
    <w:rsid w:val="00C866E7"/>
    <w:rsid w:val="00C86AC7"/>
    <w:rsid w:val="00C86F55"/>
    <w:rsid w:val="00C90840"/>
    <w:rsid w:val="00C90923"/>
    <w:rsid w:val="00C90AFB"/>
    <w:rsid w:val="00C92CEF"/>
    <w:rsid w:val="00C93EA6"/>
    <w:rsid w:val="00C94A6A"/>
    <w:rsid w:val="00C95E10"/>
    <w:rsid w:val="00C95F3F"/>
    <w:rsid w:val="00C966B9"/>
    <w:rsid w:val="00C966BD"/>
    <w:rsid w:val="00C966BF"/>
    <w:rsid w:val="00C96ED0"/>
    <w:rsid w:val="00CA0324"/>
    <w:rsid w:val="00CA044B"/>
    <w:rsid w:val="00CA09ED"/>
    <w:rsid w:val="00CA0A1E"/>
    <w:rsid w:val="00CA1649"/>
    <w:rsid w:val="00CA21F1"/>
    <w:rsid w:val="00CA25ED"/>
    <w:rsid w:val="00CA2898"/>
    <w:rsid w:val="00CA2B32"/>
    <w:rsid w:val="00CA3BDD"/>
    <w:rsid w:val="00CA450B"/>
    <w:rsid w:val="00CA4897"/>
    <w:rsid w:val="00CA5FB9"/>
    <w:rsid w:val="00CA6F0F"/>
    <w:rsid w:val="00CB04B8"/>
    <w:rsid w:val="00CB0943"/>
    <w:rsid w:val="00CB14FD"/>
    <w:rsid w:val="00CB1556"/>
    <w:rsid w:val="00CB1894"/>
    <w:rsid w:val="00CB41D0"/>
    <w:rsid w:val="00CB420C"/>
    <w:rsid w:val="00CB4CAB"/>
    <w:rsid w:val="00CB52C3"/>
    <w:rsid w:val="00CB5B0E"/>
    <w:rsid w:val="00CB5FC2"/>
    <w:rsid w:val="00CB61A7"/>
    <w:rsid w:val="00CB7CB8"/>
    <w:rsid w:val="00CC0BA6"/>
    <w:rsid w:val="00CC1123"/>
    <w:rsid w:val="00CC19FC"/>
    <w:rsid w:val="00CC39F6"/>
    <w:rsid w:val="00CC3C1C"/>
    <w:rsid w:val="00CC4141"/>
    <w:rsid w:val="00CC4681"/>
    <w:rsid w:val="00CC5371"/>
    <w:rsid w:val="00CC74C2"/>
    <w:rsid w:val="00CD0734"/>
    <w:rsid w:val="00CD0D88"/>
    <w:rsid w:val="00CD2432"/>
    <w:rsid w:val="00CD4676"/>
    <w:rsid w:val="00CD4D94"/>
    <w:rsid w:val="00CD5776"/>
    <w:rsid w:val="00CD64C9"/>
    <w:rsid w:val="00CD76F3"/>
    <w:rsid w:val="00CD7E4E"/>
    <w:rsid w:val="00CE0EC9"/>
    <w:rsid w:val="00CE1F14"/>
    <w:rsid w:val="00CE2164"/>
    <w:rsid w:val="00CE2272"/>
    <w:rsid w:val="00CE2932"/>
    <w:rsid w:val="00CE2C18"/>
    <w:rsid w:val="00CE2D7C"/>
    <w:rsid w:val="00CE2EE3"/>
    <w:rsid w:val="00CE440A"/>
    <w:rsid w:val="00CE4CC0"/>
    <w:rsid w:val="00CE4FE5"/>
    <w:rsid w:val="00CE59D6"/>
    <w:rsid w:val="00CE5A31"/>
    <w:rsid w:val="00CE755A"/>
    <w:rsid w:val="00CE7655"/>
    <w:rsid w:val="00CE787C"/>
    <w:rsid w:val="00CE7B48"/>
    <w:rsid w:val="00CF0621"/>
    <w:rsid w:val="00CF1A25"/>
    <w:rsid w:val="00CF1E20"/>
    <w:rsid w:val="00CF277C"/>
    <w:rsid w:val="00CF33B1"/>
    <w:rsid w:val="00CF3E56"/>
    <w:rsid w:val="00CF6EA5"/>
    <w:rsid w:val="00D0130F"/>
    <w:rsid w:val="00D06663"/>
    <w:rsid w:val="00D104E8"/>
    <w:rsid w:val="00D117D1"/>
    <w:rsid w:val="00D11A02"/>
    <w:rsid w:val="00D149CE"/>
    <w:rsid w:val="00D15086"/>
    <w:rsid w:val="00D15376"/>
    <w:rsid w:val="00D160C1"/>
    <w:rsid w:val="00D17D06"/>
    <w:rsid w:val="00D20A99"/>
    <w:rsid w:val="00D24BD1"/>
    <w:rsid w:val="00D2525B"/>
    <w:rsid w:val="00D27CBD"/>
    <w:rsid w:val="00D309FA"/>
    <w:rsid w:val="00D30ACE"/>
    <w:rsid w:val="00D30ECA"/>
    <w:rsid w:val="00D3175F"/>
    <w:rsid w:val="00D33EF5"/>
    <w:rsid w:val="00D346DE"/>
    <w:rsid w:val="00D34718"/>
    <w:rsid w:val="00D34A92"/>
    <w:rsid w:val="00D34FE3"/>
    <w:rsid w:val="00D3582D"/>
    <w:rsid w:val="00D36E89"/>
    <w:rsid w:val="00D37582"/>
    <w:rsid w:val="00D3768E"/>
    <w:rsid w:val="00D37964"/>
    <w:rsid w:val="00D37D02"/>
    <w:rsid w:val="00D40205"/>
    <w:rsid w:val="00D40550"/>
    <w:rsid w:val="00D4066D"/>
    <w:rsid w:val="00D40EBF"/>
    <w:rsid w:val="00D410EF"/>
    <w:rsid w:val="00D41ED0"/>
    <w:rsid w:val="00D42C75"/>
    <w:rsid w:val="00D433B6"/>
    <w:rsid w:val="00D4469A"/>
    <w:rsid w:val="00D44EEA"/>
    <w:rsid w:val="00D4562C"/>
    <w:rsid w:val="00D460CE"/>
    <w:rsid w:val="00D479DC"/>
    <w:rsid w:val="00D50147"/>
    <w:rsid w:val="00D504DA"/>
    <w:rsid w:val="00D50FF4"/>
    <w:rsid w:val="00D51889"/>
    <w:rsid w:val="00D5197B"/>
    <w:rsid w:val="00D51A99"/>
    <w:rsid w:val="00D51D59"/>
    <w:rsid w:val="00D52036"/>
    <w:rsid w:val="00D52129"/>
    <w:rsid w:val="00D52497"/>
    <w:rsid w:val="00D528A2"/>
    <w:rsid w:val="00D53EBE"/>
    <w:rsid w:val="00D543AC"/>
    <w:rsid w:val="00D55B9D"/>
    <w:rsid w:val="00D60246"/>
    <w:rsid w:val="00D60FEE"/>
    <w:rsid w:val="00D613AA"/>
    <w:rsid w:val="00D6158F"/>
    <w:rsid w:val="00D6189F"/>
    <w:rsid w:val="00D6235D"/>
    <w:rsid w:val="00D62D74"/>
    <w:rsid w:val="00D63C30"/>
    <w:rsid w:val="00D64D67"/>
    <w:rsid w:val="00D65C67"/>
    <w:rsid w:val="00D65D18"/>
    <w:rsid w:val="00D667E1"/>
    <w:rsid w:val="00D66E18"/>
    <w:rsid w:val="00D67A91"/>
    <w:rsid w:val="00D70B94"/>
    <w:rsid w:val="00D7135A"/>
    <w:rsid w:val="00D71D3D"/>
    <w:rsid w:val="00D7309C"/>
    <w:rsid w:val="00D745DA"/>
    <w:rsid w:val="00D81E82"/>
    <w:rsid w:val="00D84271"/>
    <w:rsid w:val="00D85084"/>
    <w:rsid w:val="00D85617"/>
    <w:rsid w:val="00D9052B"/>
    <w:rsid w:val="00D908FD"/>
    <w:rsid w:val="00D90ADB"/>
    <w:rsid w:val="00D9146E"/>
    <w:rsid w:val="00D91D1B"/>
    <w:rsid w:val="00D91E7A"/>
    <w:rsid w:val="00D93717"/>
    <w:rsid w:val="00D944C0"/>
    <w:rsid w:val="00D94F20"/>
    <w:rsid w:val="00D9646C"/>
    <w:rsid w:val="00D96E37"/>
    <w:rsid w:val="00D96E6A"/>
    <w:rsid w:val="00D96FF3"/>
    <w:rsid w:val="00D972F7"/>
    <w:rsid w:val="00D97303"/>
    <w:rsid w:val="00DA030C"/>
    <w:rsid w:val="00DA11A2"/>
    <w:rsid w:val="00DA124D"/>
    <w:rsid w:val="00DA1CF8"/>
    <w:rsid w:val="00DA2638"/>
    <w:rsid w:val="00DA2B70"/>
    <w:rsid w:val="00DA31C7"/>
    <w:rsid w:val="00DA54B7"/>
    <w:rsid w:val="00DA588D"/>
    <w:rsid w:val="00DA688D"/>
    <w:rsid w:val="00DA6C93"/>
    <w:rsid w:val="00DA770A"/>
    <w:rsid w:val="00DA7E10"/>
    <w:rsid w:val="00DB056B"/>
    <w:rsid w:val="00DB0F79"/>
    <w:rsid w:val="00DB1036"/>
    <w:rsid w:val="00DB1B63"/>
    <w:rsid w:val="00DB4420"/>
    <w:rsid w:val="00DB5388"/>
    <w:rsid w:val="00DB5D9C"/>
    <w:rsid w:val="00DB6621"/>
    <w:rsid w:val="00DB6A85"/>
    <w:rsid w:val="00DB7869"/>
    <w:rsid w:val="00DC30CA"/>
    <w:rsid w:val="00DC32C3"/>
    <w:rsid w:val="00DC32FE"/>
    <w:rsid w:val="00DC3EAA"/>
    <w:rsid w:val="00DC6979"/>
    <w:rsid w:val="00DC7D41"/>
    <w:rsid w:val="00DD090B"/>
    <w:rsid w:val="00DD567E"/>
    <w:rsid w:val="00DD6139"/>
    <w:rsid w:val="00DD6E16"/>
    <w:rsid w:val="00DE13ED"/>
    <w:rsid w:val="00DE14C2"/>
    <w:rsid w:val="00DE19ED"/>
    <w:rsid w:val="00DE24DE"/>
    <w:rsid w:val="00DE254E"/>
    <w:rsid w:val="00DE3319"/>
    <w:rsid w:val="00DE384E"/>
    <w:rsid w:val="00DE3E06"/>
    <w:rsid w:val="00DE4C43"/>
    <w:rsid w:val="00DE7C97"/>
    <w:rsid w:val="00DE7DD9"/>
    <w:rsid w:val="00DF0D51"/>
    <w:rsid w:val="00DF1984"/>
    <w:rsid w:val="00DF264C"/>
    <w:rsid w:val="00DF269A"/>
    <w:rsid w:val="00DF2E72"/>
    <w:rsid w:val="00DF49DC"/>
    <w:rsid w:val="00DF7115"/>
    <w:rsid w:val="00DF7EB1"/>
    <w:rsid w:val="00E0032F"/>
    <w:rsid w:val="00E01C61"/>
    <w:rsid w:val="00E02129"/>
    <w:rsid w:val="00E0275F"/>
    <w:rsid w:val="00E02B23"/>
    <w:rsid w:val="00E0369B"/>
    <w:rsid w:val="00E0372A"/>
    <w:rsid w:val="00E04C08"/>
    <w:rsid w:val="00E0549B"/>
    <w:rsid w:val="00E062FD"/>
    <w:rsid w:val="00E06D9A"/>
    <w:rsid w:val="00E07799"/>
    <w:rsid w:val="00E10DE0"/>
    <w:rsid w:val="00E120AF"/>
    <w:rsid w:val="00E12495"/>
    <w:rsid w:val="00E129F7"/>
    <w:rsid w:val="00E12E44"/>
    <w:rsid w:val="00E12EF1"/>
    <w:rsid w:val="00E13A3C"/>
    <w:rsid w:val="00E1462F"/>
    <w:rsid w:val="00E1481F"/>
    <w:rsid w:val="00E14B32"/>
    <w:rsid w:val="00E15679"/>
    <w:rsid w:val="00E15CEF"/>
    <w:rsid w:val="00E167F7"/>
    <w:rsid w:val="00E16C44"/>
    <w:rsid w:val="00E16F74"/>
    <w:rsid w:val="00E1782C"/>
    <w:rsid w:val="00E17882"/>
    <w:rsid w:val="00E216AF"/>
    <w:rsid w:val="00E21A3A"/>
    <w:rsid w:val="00E22CF9"/>
    <w:rsid w:val="00E23F81"/>
    <w:rsid w:val="00E24437"/>
    <w:rsid w:val="00E24CEA"/>
    <w:rsid w:val="00E24D4E"/>
    <w:rsid w:val="00E27583"/>
    <w:rsid w:val="00E2796C"/>
    <w:rsid w:val="00E27C91"/>
    <w:rsid w:val="00E304AA"/>
    <w:rsid w:val="00E307D0"/>
    <w:rsid w:val="00E32522"/>
    <w:rsid w:val="00E333F3"/>
    <w:rsid w:val="00E33634"/>
    <w:rsid w:val="00E3505E"/>
    <w:rsid w:val="00E369D1"/>
    <w:rsid w:val="00E400D4"/>
    <w:rsid w:val="00E4121E"/>
    <w:rsid w:val="00E41748"/>
    <w:rsid w:val="00E42931"/>
    <w:rsid w:val="00E43D8D"/>
    <w:rsid w:val="00E442E9"/>
    <w:rsid w:val="00E44D98"/>
    <w:rsid w:val="00E44E95"/>
    <w:rsid w:val="00E45A45"/>
    <w:rsid w:val="00E46DE4"/>
    <w:rsid w:val="00E502C1"/>
    <w:rsid w:val="00E502F5"/>
    <w:rsid w:val="00E50D65"/>
    <w:rsid w:val="00E518C0"/>
    <w:rsid w:val="00E5257D"/>
    <w:rsid w:val="00E52E4D"/>
    <w:rsid w:val="00E53AF6"/>
    <w:rsid w:val="00E544F4"/>
    <w:rsid w:val="00E55AD0"/>
    <w:rsid w:val="00E55DFF"/>
    <w:rsid w:val="00E55E51"/>
    <w:rsid w:val="00E55EC8"/>
    <w:rsid w:val="00E56824"/>
    <w:rsid w:val="00E57659"/>
    <w:rsid w:val="00E5765D"/>
    <w:rsid w:val="00E62B60"/>
    <w:rsid w:val="00E64261"/>
    <w:rsid w:val="00E64F17"/>
    <w:rsid w:val="00E65DE4"/>
    <w:rsid w:val="00E66995"/>
    <w:rsid w:val="00E669C2"/>
    <w:rsid w:val="00E67A69"/>
    <w:rsid w:val="00E70A7A"/>
    <w:rsid w:val="00E71D4F"/>
    <w:rsid w:val="00E739B1"/>
    <w:rsid w:val="00E73E57"/>
    <w:rsid w:val="00E757AB"/>
    <w:rsid w:val="00E77A8D"/>
    <w:rsid w:val="00E826EA"/>
    <w:rsid w:val="00E82BC3"/>
    <w:rsid w:val="00E82EC4"/>
    <w:rsid w:val="00E870EE"/>
    <w:rsid w:val="00E876BE"/>
    <w:rsid w:val="00E87ECE"/>
    <w:rsid w:val="00E87EF0"/>
    <w:rsid w:val="00E9159C"/>
    <w:rsid w:val="00E9244E"/>
    <w:rsid w:val="00E927B9"/>
    <w:rsid w:val="00E92AF3"/>
    <w:rsid w:val="00E93185"/>
    <w:rsid w:val="00E9366F"/>
    <w:rsid w:val="00E9403F"/>
    <w:rsid w:val="00E94A3A"/>
    <w:rsid w:val="00E9500B"/>
    <w:rsid w:val="00E95C07"/>
    <w:rsid w:val="00E96516"/>
    <w:rsid w:val="00E969E4"/>
    <w:rsid w:val="00E96CFF"/>
    <w:rsid w:val="00EA0566"/>
    <w:rsid w:val="00EA171B"/>
    <w:rsid w:val="00EA5E59"/>
    <w:rsid w:val="00EA6520"/>
    <w:rsid w:val="00EA6D15"/>
    <w:rsid w:val="00EA7A4F"/>
    <w:rsid w:val="00EB0471"/>
    <w:rsid w:val="00EB0704"/>
    <w:rsid w:val="00EB176C"/>
    <w:rsid w:val="00EB2DCC"/>
    <w:rsid w:val="00EB3863"/>
    <w:rsid w:val="00EB393E"/>
    <w:rsid w:val="00EB4F9A"/>
    <w:rsid w:val="00EB58E4"/>
    <w:rsid w:val="00EB6794"/>
    <w:rsid w:val="00EB6C44"/>
    <w:rsid w:val="00EB7729"/>
    <w:rsid w:val="00EC18C7"/>
    <w:rsid w:val="00EC1FB4"/>
    <w:rsid w:val="00EC2984"/>
    <w:rsid w:val="00EC38C7"/>
    <w:rsid w:val="00EC3E50"/>
    <w:rsid w:val="00EC491E"/>
    <w:rsid w:val="00ED0D1B"/>
    <w:rsid w:val="00ED11BD"/>
    <w:rsid w:val="00ED1236"/>
    <w:rsid w:val="00ED1B22"/>
    <w:rsid w:val="00ED289A"/>
    <w:rsid w:val="00ED3560"/>
    <w:rsid w:val="00ED3BC1"/>
    <w:rsid w:val="00ED425F"/>
    <w:rsid w:val="00ED4345"/>
    <w:rsid w:val="00ED48B9"/>
    <w:rsid w:val="00ED67C8"/>
    <w:rsid w:val="00ED78F8"/>
    <w:rsid w:val="00ED7962"/>
    <w:rsid w:val="00EE07A8"/>
    <w:rsid w:val="00EE0EC7"/>
    <w:rsid w:val="00EE1B3D"/>
    <w:rsid w:val="00EE1FD9"/>
    <w:rsid w:val="00EE20D5"/>
    <w:rsid w:val="00EE37C3"/>
    <w:rsid w:val="00EE382E"/>
    <w:rsid w:val="00EE3BFF"/>
    <w:rsid w:val="00EE4063"/>
    <w:rsid w:val="00EE4774"/>
    <w:rsid w:val="00EE54D4"/>
    <w:rsid w:val="00EE7347"/>
    <w:rsid w:val="00EF0B21"/>
    <w:rsid w:val="00EF1B6F"/>
    <w:rsid w:val="00EF1CD0"/>
    <w:rsid w:val="00EF2CB3"/>
    <w:rsid w:val="00EF30E9"/>
    <w:rsid w:val="00EF316F"/>
    <w:rsid w:val="00EF356D"/>
    <w:rsid w:val="00EF3730"/>
    <w:rsid w:val="00EF46A0"/>
    <w:rsid w:val="00EF47DD"/>
    <w:rsid w:val="00EF4E1E"/>
    <w:rsid w:val="00EF4EC9"/>
    <w:rsid w:val="00EF4F28"/>
    <w:rsid w:val="00EF7D1B"/>
    <w:rsid w:val="00F00837"/>
    <w:rsid w:val="00F04179"/>
    <w:rsid w:val="00F04BFF"/>
    <w:rsid w:val="00F0500F"/>
    <w:rsid w:val="00F0583D"/>
    <w:rsid w:val="00F05DEC"/>
    <w:rsid w:val="00F05E53"/>
    <w:rsid w:val="00F061A3"/>
    <w:rsid w:val="00F06888"/>
    <w:rsid w:val="00F07969"/>
    <w:rsid w:val="00F10502"/>
    <w:rsid w:val="00F1086C"/>
    <w:rsid w:val="00F11916"/>
    <w:rsid w:val="00F12C9F"/>
    <w:rsid w:val="00F13D17"/>
    <w:rsid w:val="00F13FE1"/>
    <w:rsid w:val="00F16040"/>
    <w:rsid w:val="00F17222"/>
    <w:rsid w:val="00F17903"/>
    <w:rsid w:val="00F20009"/>
    <w:rsid w:val="00F20028"/>
    <w:rsid w:val="00F21911"/>
    <w:rsid w:val="00F22D61"/>
    <w:rsid w:val="00F230C0"/>
    <w:rsid w:val="00F23F4D"/>
    <w:rsid w:val="00F24158"/>
    <w:rsid w:val="00F247A3"/>
    <w:rsid w:val="00F252FA"/>
    <w:rsid w:val="00F25702"/>
    <w:rsid w:val="00F25801"/>
    <w:rsid w:val="00F25B03"/>
    <w:rsid w:val="00F25F3A"/>
    <w:rsid w:val="00F26189"/>
    <w:rsid w:val="00F26CFF"/>
    <w:rsid w:val="00F30B30"/>
    <w:rsid w:val="00F32145"/>
    <w:rsid w:val="00F327C9"/>
    <w:rsid w:val="00F337A4"/>
    <w:rsid w:val="00F35567"/>
    <w:rsid w:val="00F35E3D"/>
    <w:rsid w:val="00F361B3"/>
    <w:rsid w:val="00F37A9E"/>
    <w:rsid w:val="00F37B5B"/>
    <w:rsid w:val="00F4129E"/>
    <w:rsid w:val="00F41456"/>
    <w:rsid w:val="00F421D9"/>
    <w:rsid w:val="00F4243E"/>
    <w:rsid w:val="00F427B8"/>
    <w:rsid w:val="00F43A5F"/>
    <w:rsid w:val="00F44372"/>
    <w:rsid w:val="00F45809"/>
    <w:rsid w:val="00F458E1"/>
    <w:rsid w:val="00F4675F"/>
    <w:rsid w:val="00F46937"/>
    <w:rsid w:val="00F46E7D"/>
    <w:rsid w:val="00F51A0C"/>
    <w:rsid w:val="00F52218"/>
    <w:rsid w:val="00F525E7"/>
    <w:rsid w:val="00F5296A"/>
    <w:rsid w:val="00F52C94"/>
    <w:rsid w:val="00F53D15"/>
    <w:rsid w:val="00F54113"/>
    <w:rsid w:val="00F54198"/>
    <w:rsid w:val="00F54EA4"/>
    <w:rsid w:val="00F57DF5"/>
    <w:rsid w:val="00F6036C"/>
    <w:rsid w:val="00F60F1A"/>
    <w:rsid w:val="00F61D6A"/>
    <w:rsid w:val="00F6219D"/>
    <w:rsid w:val="00F63035"/>
    <w:rsid w:val="00F641BE"/>
    <w:rsid w:val="00F64A18"/>
    <w:rsid w:val="00F64DFC"/>
    <w:rsid w:val="00F664DA"/>
    <w:rsid w:val="00F66CB2"/>
    <w:rsid w:val="00F67D90"/>
    <w:rsid w:val="00F7035D"/>
    <w:rsid w:val="00F70D73"/>
    <w:rsid w:val="00F73B44"/>
    <w:rsid w:val="00F75128"/>
    <w:rsid w:val="00F76C50"/>
    <w:rsid w:val="00F76DD8"/>
    <w:rsid w:val="00F772F5"/>
    <w:rsid w:val="00F8033C"/>
    <w:rsid w:val="00F80A4F"/>
    <w:rsid w:val="00F8131D"/>
    <w:rsid w:val="00F81506"/>
    <w:rsid w:val="00F822B0"/>
    <w:rsid w:val="00F83B3E"/>
    <w:rsid w:val="00F83CD8"/>
    <w:rsid w:val="00F855BA"/>
    <w:rsid w:val="00F86C30"/>
    <w:rsid w:val="00F87516"/>
    <w:rsid w:val="00F90EF7"/>
    <w:rsid w:val="00F92152"/>
    <w:rsid w:val="00F924E7"/>
    <w:rsid w:val="00F95A16"/>
    <w:rsid w:val="00F97AF7"/>
    <w:rsid w:val="00F97C4E"/>
    <w:rsid w:val="00FA05D0"/>
    <w:rsid w:val="00FA0885"/>
    <w:rsid w:val="00FA0FDA"/>
    <w:rsid w:val="00FA16C2"/>
    <w:rsid w:val="00FA2728"/>
    <w:rsid w:val="00FA3E7A"/>
    <w:rsid w:val="00FA53DB"/>
    <w:rsid w:val="00FA57B5"/>
    <w:rsid w:val="00FA72FA"/>
    <w:rsid w:val="00FB071D"/>
    <w:rsid w:val="00FB1C57"/>
    <w:rsid w:val="00FB314A"/>
    <w:rsid w:val="00FB34F7"/>
    <w:rsid w:val="00FB5BA4"/>
    <w:rsid w:val="00FB5E2A"/>
    <w:rsid w:val="00FB6290"/>
    <w:rsid w:val="00FB72E7"/>
    <w:rsid w:val="00FB7570"/>
    <w:rsid w:val="00FB7579"/>
    <w:rsid w:val="00FB7D44"/>
    <w:rsid w:val="00FB7EB8"/>
    <w:rsid w:val="00FC08A2"/>
    <w:rsid w:val="00FC0FF6"/>
    <w:rsid w:val="00FC12FB"/>
    <w:rsid w:val="00FC1749"/>
    <w:rsid w:val="00FC292A"/>
    <w:rsid w:val="00FC31A8"/>
    <w:rsid w:val="00FC324C"/>
    <w:rsid w:val="00FC3771"/>
    <w:rsid w:val="00FC3DC2"/>
    <w:rsid w:val="00FC40E9"/>
    <w:rsid w:val="00FC43EA"/>
    <w:rsid w:val="00FC5007"/>
    <w:rsid w:val="00FC5458"/>
    <w:rsid w:val="00FC6755"/>
    <w:rsid w:val="00FC69F3"/>
    <w:rsid w:val="00FC6A94"/>
    <w:rsid w:val="00FC7F23"/>
    <w:rsid w:val="00FD0859"/>
    <w:rsid w:val="00FD1B56"/>
    <w:rsid w:val="00FD2994"/>
    <w:rsid w:val="00FD39EA"/>
    <w:rsid w:val="00FD40B7"/>
    <w:rsid w:val="00FD453F"/>
    <w:rsid w:val="00FD6BD2"/>
    <w:rsid w:val="00FD7DA4"/>
    <w:rsid w:val="00FD7DEE"/>
    <w:rsid w:val="00FE04DF"/>
    <w:rsid w:val="00FE0893"/>
    <w:rsid w:val="00FE131F"/>
    <w:rsid w:val="00FE13A6"/>
    <w:rsid w:val="00FE15DE"/>
    <w:rsid w:val="00FE3539"/>
    <w:rsid w:val="00FE4B51"/>
    <w:rsid w:val="00FE5129"/>
    <w:rsid w:val="00FE526E"/>
    <w:rsid w:val="00FE6214"/>
    <w:rsid w:val="00FE65B3"/>
    <w:rsid w:val="00FF0698"/>
    <w:rsid w:val="00FF0C27"/>
    <w:rsid w:val="00FF0D98"/>
    <w:rsid w:val="00FF0D99"/>
    <w:rsid w:val="00FF1459"/>
    <w:rsid w:val="00FF2141"/>
    <w:rsid w:val="00FF48C1"/>
    <w:rsid w:val="00FF641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E7171"/>
  <w15:docId w15:val="{93559A4F-3FC5-4B49-8F7E-39BB12D7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64D"/>
    <w:pPr>
      <w:ind w:left="720"/>
      <w:contextualSpacing/>
    </w:pPr>
  </w:style>
  <w:style w:type="paragraph" w:styleId="FootnoteText">
    <w:name w:val="footnote text"/>
    <w:basedOn w:val="Normal"/>
    <w:link w:val="FootnoteTextChar"/>
    <w:uiPriority w:val="99"/>
    <w:unhideWhenUsed/>
    <w:qFormat/>
    <w:rsid w:val="00393D6F"/>
    <w:pPr>
      <w:spacing w:after="0" w:line="240" w:lineRule="auto"/>
    </w:pPr>
    <w:rPr>
      <w:sz w:val="20"/>
      <w:szCs w:val="20"/>
    </w:rPr>
  </w:style>
  <w:style w:type="character" w:customStyle="1" w:styleId="FootnoteTextChar">
    <w:name w:val="Footnote Text Char"/>
    <w:basedOn w:val="DefaultParagraphFont"/>
    <w:link w:val="FootnoteText"/>
    <w:uiPriority w:val="99"/>
    <w:rsid w:val="00393D6F"/>
    <w:rPr>
      <w:sz w:val="20"/>
      <w:szCs w:val="20"/>
    </w:rPr>
  </w:style>
  <w:style w:type="character" w:styleId="FootnoteReference">
    <w:name w:val="footnote reference"/>
    <w:basedOn w:val="DefaultParagraphFont"/>
    <w:uiPriority w:val="99"/>
    <w:unhideWhenUsed/>
    <w:rsid w:val="00393D6F"/>
    <w:rPr>
      <w:vertAlign w:val="superscript"/>
    </w:rPr>
  </w:style>
  <w:style w:type="paragraph" w:styleId="Header">
    <w:name w:val="header"/>
    <w:basedOn w:val="Normal"/>
    <w:link w:val="HeaderChar"/>
    <w:uiPriority w:val="99"/>
    <w:unhideWhenUsed/>
    <w:rsid w:val="00350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990"/>
  </w:style>
  <w:style w:type="paragraph" w:styleId="Footer">
    <w:name w:val="footer"/>
    <w:basedOn w:val="Normal"/>
    <w:link w:val="FooterChar"/>
    <w:uiPriority w:val="99"/>
    <w:unhideWhenUsed/>
    <w:rsid w:val="00350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990"/>
  </w:style>
  <w:style w:type="character" w:styleId="CommentReference">
    <w:name w:val="annotation reference"/>
    <w:basedOn w:val="DefaultParagraphFont"/>
    <w:uiPriority w:val="99"/>
    <w:semiHidden/>
    <w:unhideWhenUsed/>
    <w:rsid w:val="00C22513"/>
    <w:rPr>
      <w:sz w:val="16"/>
      <w:szCs w:val="16"/>
    </w:rPr>
  </w:style>
  <w:style w:type="paragraph" w:styleId="CommentText">
    <w:name w:val="annotation text"/>
    <w:basedOn w:val="Normal"/>
    <w:link w:val="CommentTextChar"/>
    <w:uiPriority w:val="99"/>
    <w:unhideWhenUsed/>
    <w:rsid w:val="00C22513"/>
    <w:pPr>
      <w:spacing w:line="240" w:lineRule="auto"/>
    </w:pPr>
    <w:rPr>
      <w:sz w:val="20"/>
      <w:szCs w:val="20"/>
    </w:rPr>
  </w:style>
  <w:style w:type="character" w:customStyle="1" w:styleId="CommentTextChar">
    <w:name w:val="Comment Text Char"/>
    <w:basedOn w:val="DefaultParagraphFont"/>
    <w:link w:val="CommentText"/>
    <w:uiPriority w:val="99"/>
    <w:rsid w:val="00C22513"/>
    <w:rPr>
      <w:sz w:val="20"/>
      <w:szCs w:val="20"/>
    </w:rPr>
  </w:style>
  <w:style w:type="paragraph" w:styleId="CommentSubject">
    <w:name w:val="annotation subject"/>
    <w:basedOn w:val="CommentText"/>
    <w:next w:val="CommentText"/>
    <w:link w:val="CommentSubjectChar"/>
    <w:uiPriority w:val="99"/>
    <w:semiHidden/>
    <w:unhideWhenUsed/>
    <w:rsid w:val="00C22513"/>
    <w:rPr>
      <w:b/>
      <w:bCs/>
    </w:rPr>
  </w:style>
  <w:style w:type="character" w:customStyle="1" w:styleId="CommentSubjectChar">
    <w:name w:val="Comment Subject Char"/>
    <w:basedOn w:val="CommentTextChar"/>
    <w:link w:val="CommentSubject"/>
    <w:uiPriority w:val="99"/>
    <w:semiHidden/>
    <w:rsid w:val="00C22513"/>
    <w:rPr>
      <w:b/>
      <w:bCs/>
      <w:sz w:val="20"/>
      <w:szCs w:val="20"/>
    </w:rPr>
  </w:style>
  <w:style w:type="paragraph" w:styleId="BalloonText">
    <w:name w:val="Balloon Text"/>
    <w:basedOn w:val="Normal"/>
    <w:link w:val="BalloonTextChar"/>
    <w:uiPriority w:val="99"/>
    <w:semiHidden/>
    <w:unhideWhenUsed/>
    <w:rsid w:val="00C225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513"/>
    <w:rPr>
      <w:rFonts w:ascii="Segoe UI" w:hAnsi="Segoe UI" w:cs="Segoe UI"/>
      <w:sz w:val="18"/>
      <w:szCs w:val="18"/>
    </w:rPr>
  </w:style>
  <w:style w:type="table" w:styleId="TableGrid">
    <w:name w:val="Table Grid"/>
    <w:basedOn w:val="TableNormal"/>
    <w:uiPriority w:val="39"/>
    <w:rsid w:val="00ED1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9907B8"/>
    <w:pPr>
      <w:spacing w:after="0" w:line="240" w:lineRule="auto"/>
      <w:ind w:firstLine="720"/>
      <w:jc w:val="both"/>
    </w:pPr>
    <w:rPr>
      <w:rFonts w:ascii="Times New Roman" w:eastAsia="Calibri" w:hAnsi="Times New Roman" w:cs="Times New Roman"/>
      <w:noProof/>
      <w:sz w:val="20"/>
      <w:szCs w:val="20"/>
    </w:rPr>
  </w:style>
  <w:style w:type="character" w:customStyle="1" w:styleId="EndNoteBibliographyChar">
    <w:name w:val="EndNote Bibliography Char"/>
    <w:basedOn w:val="DefaultParagraphFont"/>
    <w:link w:val="EndNoteBibliography"/>
    <w:rsid w:val="009907B8"/>
    <w:rPr>
      <w:rFonts w:ascii="Times New Roman" w:eastAsia="Calibri" w:hAnsi="Times New Roman" w:cs="Times New Roman"/>
      <w:noProof/>
      <w:sz w:val="20"/>
      <w:szCs w:val="20"/>
    </w:rPr>
  </w:style>
  <w:style w:type="paragraph" w:styleId="EndnoteText">
    <w:name w:val="endnote text"/>
    <w:basedOn w:val="Normal"/>
    <w:link w:val="EndnoteTextChar"/>
    <w:uiPriority w:val="99"/>
    <w:semiHidden/>
    <w:unhideWhenUsed/>
    <w:rsid w:val="007B511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7B511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7B511C"/>
    <w:rPr>
      <w:vertAlign w:val="superscript"/>
    </w:rPr>
  </w:style>
  <w:style w:type="paragraph" w:styleId="Revision">
    <w:name w:val="Revision"/>
    <w:hidden/>
    <w:uiPriority w:val="99"/>
    <w:semiHidden/>
    <w:rsid w:val="003D134D"/>
    <w:pPr>
      <w:spacing w:after="0" w:line="240" w:lineRule="auto"/>
    </w:pPr>
  </w:style>
  <w:style w:type="character" w:styleId="PlaceholderText">
    <w:name w:val="Placeholder Text"/>
    <w:basedOn w:val="DefaultParagraphFont"/>
    <w:uiPriority w:val="99"/>
    <w:semiHidden/>
    <w:rsid w:val="0000679F"/>
    <w:rPr>
      <w:color w:val="808080"/>
    </w:rPr>
  </w:style>
  <w:style w:type="paragraph" w:styleId="HTMLPreformatted">
    <w:name w:val="HTML Preformatted"/>
    <w:basedOn w:val="Normal"/>
    <w:link w:val="HTMLPreformattedChar"/>
    <w:uiPriority w:val="99"/>
    <w:semiHidden/>
    <w:unhideWhenUsed/>
    <w:rsid w:val="00A90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0757"/>
    <w:rPr>
      <w:rFonts w:ascii="Courier New" w:eastAsia="Times New Roman" w:hAnsi="Courier New" w:cs="Courier New"/>
      <w:sz w:val="20"/>
      <w:szCs w:val="20"/>
    </w:rPr>
  </w:style>
  <w:style w:type="character" w:customStyle="1" w:styleId="separator">
    <w:name w:val="separator"/>
    <w:basedOn w:val="DefaultParagraphFont"/>
    <w:rsid w:val="00DF264C"/>
  </w:style>
  <w:style w:type="character" w:customStyle="1" w:styleId="author">
    <w:name w:val="author"/>
    <w:basedOn w:val="DefaultParagraphFont"/>
    <w:rsid w:val="00DF264C"/>
  </w:style>
  <w:style w:type="character" w:styleId="Hyperlink">
    <w:name w:val="Hyperlink"/>
    <w:basedOn w:val="DefaultParagraphFont"/>
    <w:uiPriority w:val="99"/>
    <w:unhideWhenUsed/>
    <w:rsid w:val="00E10DE0"/>
    <w:rPr>
      <w:color w:val="0563C1" w:themeColor="hyperlink"/>
      <w:u w:val="single"/>
    </w:rPr>
  </w:style>
  <w:style w:type="paragraph" w:customStyle="1" w:styleId="gmail-msonormal">
    <w:name w:val="gmail-msonormal"/>
    <w:basedOn w:val="Normal"/>
    <w:rsid w:val="00815578"/>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2A741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A7419"/>
    <w:rPr>
      <w:rFonts w:ascii="Calibri" w:hAnsi="Calibri"/>
      <w:szCs w:val="21"/>
    </w:rPr>
  </w:style>
  <w:style w:type="character" w:styleId="UnresolvedMention">
    <w:name w:val="Unresolved Mention"/>
    <w:basedOn w:val="DefaultParagraphFont"/>
    <w:uiPriority w:val="99"/>
    <w:semiHidden/>
    <w:unhideWhenUsed/>
    <w:rsid w:val="00C07366"/>
    <w:rPr>
      <w:color w:val="605E5C"/>
      <w:shd w:val="clear" w:color="auto" w:fill="E1DFDD"/>
    </w:rPr>
  </w:style>
  <w:style w:type="paragraph" w:styleId="Date">
    <w:name w:val="Date"/>
    <w:basedOn w:val="Normal"/>
    <w:next w:val="Normal"/>
    <w:link w:val="DateChar"/>
    <w:uiPriority w:val="99"/>
    <w:semiHidden/>
    <w:unhideWhenUsed/>
    <w:rsid w:val="00C07366"/>
  </w:style>
  <w:style w:type="character" w:customStyle="1" w:styleId="DateChar">
    <w:name w:val="Date Char"/>
    <w:basedOn w:val="DefaultParagraphFont"/>
    <w:link w:val="Date"/>
    <w:uiPriority w:val="99"/>
    <w:semiHidden/>
    <w:rsid w:val="00C07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449">
      <w:bodyDiv w:val="1"/>
      <w:marLeft w:val="0"/>
      <w:marRight w:val="0"/>
      <w:marTop w:val="0"/>
      <w:marBottom w:val="0"/>
      <w:divBdr>
        <w:top w:val="none" w:sz="0" w:space="0" w:color="auto"/>
        <w:left w:val="none" w:sz="0" w:space="0" w:color="auto"/>
        <w:bottom w:val="none" w:sz="0" w:space="0" w:color="auto"/>
        <w:right w:val="none" w:sz="0" w:space="0" w:color="auto"/>
      </w:divBdr>
    </w:div>
    <w:div w:id="102698109">
      <w:bodyDiv w:val="1"/>
      <w:marLeft w:val="0"/>
      <w:marRight w:val="0"/>
      <w:marTop w:val="0"/>
      <w:marBottom w:val="0"/>
      <w:divBdr>
        <w:top w:val="none" w:sz="0" w:space="0" w:color="auto"/>
        <w:left w:val="none" w:sz="0" w:space="0" w:color="auto"/>
        <w:bottom w:val="none" w:sz="0" w:space="0" w:color="auto"/>
        <w:right w:val="none" w:sz="0" w:space="0" w:color="auto"/>
      </w:divBdr>
    </w:div>
    <w:div w:id="138427365">
      <w:bodyDiv w:val="1"/>
      <w:marLeft w:val="0"/>
      <w:marRight w:val="0"/>
      <w:marTop w:val="0"/>
      <w:marBottom w:val="0"/>
      <w:divBdr>
        <w:top w:val="none" w:sz="0" w:space="0" w:color="auto"/>
        <w:left w:val="none" w:sz="0" w:space="0" w:color="auto"/>
        <w:bottom w:val="none" w:sz="0" w:space="0" w:color="auto"/>
        <w:right w:val="none" w:sz="0" w:space="0" w:color="auto"/>
      </w:divBdr>
      <w:divsChild>
        <w:div w:id="375007722">
          <w:marLeft w:val="0"/>
          <w:marRight w:val="0"/>
          <w:marTop w:val="0"/>
          <w:marBottom w:val="0"/>
          <w:divBdr>
            <w:top w:val="none" w:sz="0" w:space="0" w:color="auto"/>
            <w:left w:val="none" w:sz="0" w:space="0" w:color="auto"/>
            <w:bottom w:val="none" w:sz="0" w:space="0" w:color="auto"/>
            <w:right w:val="none" w:sz="0" w:space="0" w:color="auto"/>
          </w:divBdr>
          <w:divsChild>
            <w:div w:id="1440955103">
              <w:marLeft w:val="0"/>
              <w:marRight w:val="0"/>
              <w:marTop w:val="0"/>
              <w:marBottom w:val="0"/>
              <w:divBdr>
                <w:top w:val="none" w:sz="0" w:space="0" w:color="auto"/>
                <w:left w:val="none" w:sz="0" w:space="0" w:color="auto"/>
                <w:bottom w:val="none" w:sz="0" w:space="0" w:color="auto"/>
                <w:right w:val="none" w:sz="0" w:space="0" w:color="auto"/>
              </w:divBdr>
            </w:div>
            <w:div w:id="135101704">
              <w:marLeft w:val="0"/>
              <w:marRight w:val="0"/>
              <w:marTop w:val="0"/>
              <w:marBottom w:val="0"/>
              <w:divBdr>
                <w:top w:val="none" w:sz="0" w:space="0" w:color="auto"/>
                <w:left w:val="none" w:sz="0" w:space="0" w:color="auto"/>
                <w:bottom w:val="none" w:sz="0" w:space="0" w:color="auto"/>
                <w:right w:val="none" w:sz="0" w:space="0" w:color="auto"/>
              </w:divBdr>
            </w:div>
            <w:div w:id="1093211816">
              <w:marLeft w:val="0"/>
              <w:marRight w:val="0"/>
              <w:marTop w:val="0"/>
              <w:marBottom w:val="0"/>
              <w:divBdr>
                <w:top w:val="none" w:sz="0" w:space="0" w:color="auto"/>
                <w:left w:val="none" w:sz="0" w:space="0" w:color="auto"/>
                <w:bottom w:val="none" w:sz="0" w:space="0" w:color="auto"/>
                <w:right w:val="none" w:sz="0" w:space="0" w:color="auto"/>
              </w:divBdr>
            </w:div>
            <w:div w:id="913003437">
              <w:marLeft w:val="0"/>
              <w:marRight w:val="0"/>
              <w:marTop w:val="0"/>
              <w:marBottom w:val="0"/>
              <w:divBdr>
                <w:top w:val="none" w:sz="0" w:space="0" w:color="auto"/>
                <w:left w:val="none" w:sz="0" w:space="0" w:color="auto"/>
                <w:bottom w:val="none" w:sz="0" w:space="0" w:color="auto"/>
                <w:right w:val="none" w:sz="0" w:space="0" w:color="auto"/>
              </w:divBdr>
            </w:div>
            <w:div w:id="581069942">
              <w:marLeft w:val="0"/>
              <w:marRight w:val="0"/>
              <w:marTop w:val="0"/>
              <w:marBottom w:val="0"/>
              <w:divBdr>
                <w:top w:val="none" w:sz="0" w:space="0" w:color="auto"/>
                <w:left w:val="none" w:sz="0" w:space="0" w:color="auto"/>
                <w:bottom w:val="none" w:sz="0" w:space="0" w:color="auto"/>
                <w:right w:val="none" w:sz="0" w:space="0" w:color="auto"/>
              </w:divBdr>
            </w:div>
          </w:divsChild>
        </w:div>
        <w:div w:id="1483496715">
          <w:marLeft w:val="0"/>
          <w:marRight w:val="0"/>
          <w:marTop w:val="0"/>
          <w:marBottom w:val="0"/>
          <w:divBdr>
            <w:top w:val="none" w:sz="0" w:space="0" w:color="auto"/>
            <w:left w:val="none" w:sz="0" w:space="0" w:color="auto"/>
            <w:bottom w:val="none" w:sz="0" w:space="0" w:color="auto"/>
            <w:right w:val="none" w:sz="0" w:space="0" w:color="auto"/>
          </w:divBdr>
          <w:divsChild>
            <w:div w:id="8719110">
              <w:marLeft w:val="0"/>
              <w:marRight w:val="0"/>
              <w:marTop w:val="0"/>
              <w:marBottom w:val="0"/>
              <w:divBdr>
                <w:top w:val="none" w:sz="0" w:space="0" w:color="auto"/>
                <w:left w:val="none" w:sz="0" w:space="0" w:color="auto"/>
                <w:bottom w:val="none" w:sz="0" w:space="0" w:color="auto"/>
                <w:right w:val="none" w:sz="0" w:space="0" w:color="auto"/>
              </w:divBdr>
            </w:div>
            <w:div w:id="21592959">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 w:id="254673819">
      <w:bodyDiv w:val="1"/>
      <w:marLeft w:val="0"/>
      <w:marRight w:val="0"/>
      <w:marTop w:val="0"/>
      <w:marBottom w:val="0"/>
      <w:divBdr>
        <w:top w:val="none" w:sz="0" w:space="0" w:color="auto"/>
        <w:left w:val="none" w:sz="0" w:space="0" w:color="auto"/>
        <w:bottom w:val="none" w:sz="0" w:space="0" w:color="auto"/>
        <w:right w:val="none" w:sz="0" w:space="0" w:color="auto"/>
      </w:divBdr>
    </w:div>
    <w:div w:id="277763407">
      <w:bodyDiv w:val="1"/>
      <w:marLeft w:val="0"/>
      <w:marRight w:val="0"/>
      <w:marTop w:val="0"/>
      <w:marBottom w:val="0"/>
      <w:divBdr>
        <w:top w:val="none" w:sz="0" w:space="0" w:color="auto"/>
        <w:left w:val="none" w:sz="0" w:space="0" w:color="auto"/>
        <w:bottom w:val="none" w:sz="0" w:space="0" w:color="auto"/>
        <w:right w:val="none" w:sz="0" w:space="0" w:color="auto"/>
      </w:divBdr>
      <w:divsChild>
        <w:div w:id="1442458502">
          <w:marLeft w:val="0"/>
          <w:marRight w:val="0"/>
          <w:marTop w:val="0"/>
          <w:marBottom w:val="0"/>
          <w:divBdr>
            <w:top w:val="none" w:sz="0" w:space="0" w:color="auto"/>
            <w:left w:val="none" w:sz="0" w:space="0" w:color="auto"/>
            <w:bottom w:val="none" w:sz="0" w:space="0" w:color="auto"/>
            <w:right w:val="none" w:sz="0" w:space="0" w:color="auto"/>
          </w:divBdr>
        </w:div>
        <w:div w:id="1398238966">
          <w:marLeft w:val="0"/>
          <w:marRight w:val="0"/>
          <w:marTop w:val="0"/>
          <w:marBottom w:val="0"/>
          <w:divBdr>
            <w:top w:val="none" w:sz="0" w:space="0" w:color="auto"/>
            <w:left w:val="none" w:sz="0" w:space="0" w:color="auto"/>
            <w:bottom w:val="none" w:sz="0" w:space="0" w:color="auto"/>
            <w:right w:val="none" w:sz="0" w:space="0" w:color="auto"/>
          </w:divBdr>
        </w:div>
        <w:div w:id="1916816642">
          <w:marLeft w:val="0"/>
          <w:marRight w:val="0"/>
          <w:marTop w:val="0"/>
          <w:marBottom w:val="0"/>
          <w:divBdr>
            <w:top w:val="none" w:sz="0" w:space="0" w:color="auto"/>
            <w:left w:val="none" w:sz="0" w:space="0" w:color="auto"/>
            <w:bottom w:val="none" w:sz="0" w:space="0" w:color="auto"/>
            <w:right w:val="none" w:sz="0" w:space="0" w:color="auto"/>
          </w:divBdr>
        </w:div>
        <w:div w:id="1443652888">
          <w:marLeft w:val="0"/>
          <w:marRight w:val="0"/>
          <w:marTop w:val="0"/>
          <w:marBottom w:val="0"/>
          <w:divBdr>
            <w:top w:val="none" w:sz="0" w:space="0" w:color="auto"/>
            <w:left w:val="none" w:sz="0" w:space="0" w:color="auto"/>
            <w:bottom w:val="none" w:sz="0" w:space="0" w:color="auto"/>
            <w:right w:val="none" w:sz="0" w:space="0" w:color="auto"/>
          </w:divBdr>
        </w:div>
        <w:div w:id="2048875073">
          <w:marLeft w:val="0"/>
          <w:marRight w:val="0"/>
          <w:marTop w:val="0"/>
          <w:marBottom w:val="0"/>
          <w:divBdr>
            <w:top w:val="none" w:sz="0" w:space="0" w:color="auto"/>
            <w:left w:val="none" w:sz="0" w:space="0" w:color="auto"/>
            <w:bottom w:val="none" w:sz="0" w:space="0" w:color="auto"/>
            <w:right w:val="none" w:sz="0" w:space="0" w:color="auto"/>
          </w:divBdr>
        </w:div>
        <w:div w:id="395007037">
          <w:marLeft w:val="0"/>
          <w:marRight w:val="0"/>
          <w:marTop w:val="0"/>
          <w:marBottom w:val="0"/>
          <w:divBdr>
            <w:top w:val="none" w:sz="0" w:space="0" w:color="auto"/>
            <w:left w:val="none" w:sz="0" w:space="0" w:color="auto"/>
            <w:bottom w:val="none" w:sz="0" w:space="0" w:color="auto"/>
            <w:right w:val="none" w:sz="0" w:space="0" w:color="auto"/>
          </w:divBdr>
        </w:div>
        <w:div w:id="1494564434">
          <w:marLeft w:val="0"/>
          <w:marRight w:val="0"/>
          <w:marTop w:val="0"/>
          <w:marBottom w:val="0"/>
          <w:divBdr>
            <w:top w:val="none" w:sz="0" w:space="0" w:color="auto"/>
            <w:left w:val="none" w:sz="0" w:space="0" w:color="auto"/>
            <w:bottom w:val="none" w:sz="0" w:space="0" w:color="auto"/>
            <w:right w:val="none" w:sz="0" w:space="0" w:color="auto"/>
          </w:divBdr>
        </w:div>
        <w:div w:id="1590772691">
          <w:marLeft w:val="0"/>
          <w:marRight w:val="0"/>
          <w:marTop w:val="0"/>
          <w:marBottom w:val="0"/>
          <w:divBdr>
            <w:top w:val="none" w:sz="0" w:space="0" w:color="auto"/>
            <w:left w:val="none" w:sz="0" w:space="0" w:color="auto"/>
            <w:bottom w:val="none" w:sz="0" w:space="0" w:color="auto"/>
            <w:right w:val="none" w:sz="0" w:space="0" w:color="auto"/>
          </w:divBdr>
        </w:div>
        <w:div w:id="620461143">
          <w:marLeft w:val="0"/>
          <w:marRight w:val="0"/>
          <w:marTop w:val="0"/>
          <w:marBottom w:val="0"/>
          <w:divBdr>
            <w:top w:val="none" w:sz="0" w:space="0" w:color="auto"/>
            <w:left w:val="none" w:sz="0" w:space="0" w:color="auto"/>
            <w:bottom w:val="none" w:sz="0" w:space="0" w:color="auto"/>
            <w:right w:val="none" w:sz="0" w:space="0" w:color="auto"/>
          </w:divBdr>
        </w:div>
        <w:div w:id="852915161">
          <w:marLeft w:val="0"/>
          <w:marRight w:val="0"/>
          <w:marTop w:val="0"/>
          <w:marBottom w:val="0"/>
          <w:divBdr>
            <w:top w:val="none" w:sz="0" w:space="0" w:color="auto"/>
            <w:left w:val="none" w:sz="0" w:space="0" w:color="auto"/>
            <w:bottom w:val="none" w:sz="0" w:space="0" w:color="auto"/>
            <w:right w:val="none" w:sz="0" w:space="0" w:color="auto"/>
          </w:divBdr>
        </w:div>
        <w:div w:id="1855076266">
          <w:marLeft w:val="0"/>
          <w:marRight w:val="0"/>
          <w:marTop w:val="0"/>
          <w:marBottom w:val="0"/>
          <w:divBdr>
            <w:top w:val="none" w:sz="0" w:space="0" w:color="auto"/>
            <w:left w:val="none" w:sz="0" w:space="0" w:color="auto"/>
            <w:bottom w:val="none" w:sz="0" w:space="0" w:color="auto"/>
            <w:right w:val="none" w:sz="0" w:space="0" w:color="auto"/>
          </w:divBdr>
        </w:div>
        <w:div w:id="168369371">
          <w:marLeft w:val="0"/>
          <w:marRight w:val="0"/>
          <w:marTop w:val="0"/>
          <w:marBottom w:val="0"/>
          <w:divBdr>
            <w:top w:val="none" w:sz="0" w:space="0" w:color="auto"/>
            <w:left w:val="none" w:sz="0" w:space="0" w:color="auto"/>
            <w:bottom w:val="none" w:sz="0" w:space="0" w:color="auto"/>
            <w:right w:val="none" w:sz="0" w:space="0" w:color="auto"/>
          </w:divBdr>
        </w:div>
        <w:div w:id="309866729">
          <w:marLeft w:val="0"/>
          <w:marRight w:val="0"/>
          <w:marTop w:val="0"/>
          <w:marBottom w:val="0"/>
          <w:divBdr>
            <w:top w:val="none" w:sz="0" w:space="0" w:color="auto"/>
            <w:left w:val="none" w:sz="0" w:space="0" w:color="auto"/>
            <w:bottom w:val="none" w:sz="0" w:space="0" w:color="auto"/>
            <w:right w:val="none" w:sz="0" w:space="0" w:color="auto"/>
          </w:divBdr>
        </w:div>
        <w:div w:id="1585650600">
          <w:marLeft w:val="0"/>
          <w:marRight w:val="0"/>
          <w:marTop w:val="0"/>
          <w:marBottom w:val="0"/>
          <w:divBdr>
            <w:top w:val="none" w:sz="0" w:space="0" w:color="auto"/>
            <w:left w:val="none" w:sz="0" w:space="0" w:color="auto"/>
            <w:bottom w:val="none" w:sz="0" w:space="0" w:color="auto"/>
            <w:right w:val="none" w:sz="0" w:space="0" w:color="auto"/>
          </w:divBdr>
        </w:div>
      </w:divsChild>
    </w:div>
    <w:div w:id="368336561">
      <w:bodyDiv w:val="1"/>
      <w:marLeft w:val="0"/>
      <w:marRight w:val="0"/>
      <w:marTop w:val="0"/>
      <w:marBottom w:val="0"/>
      <w:divBdr>
        <w:top w:val="none" w:sz="0" w:space="0" w:color="auto"/>
        <w:left w:val="none" w:sz="0" w:space="0" w:color="auto"/>
        <w:bottom w:val="none" w:sz="0" w:space="0" w:color="auto"/>
        <w:right w:val="none" w:sz="0" w:space="0" w:color="auto"/>
      </w:divBdr>
    </w:div>
    <w:div w:id="369189787">
      <w:bodyDiv w:val="1"/>
      <w:marLeft w:val="0"/>
      <w:marRight w:val="0"/>
      <w:marTop w:val="0"/>
      <w:marBottom w:val="0"/>
      <w:divBdr>
        <w:top w:val="none" w:sz="0" w:space="0" w:color="auto"/>
        <w:left w:val="none" w:sz="0" w:space="0" w:color="auto"/>
        <w:bottom w:val="none" w:sz="0" w:space="0" w:color="auto"/>
        <w:right w:val="none" w:sz="0" w:space="0" w:color="auto"/>
      </w:divBdr>
    </w:div>
    <w:div w:id="372313742">
      <w:bodyDiv w:val="1"/>
      <w:marLeft w:val="0"/>
      <w:marRight w:val="0"/>
      <w:marTop w:val="0"/>
      <w:marBottom w:val="0"/>
      <w:divBdr>
        <w:top w:val="none" w:sz="0" w:space="0" w:color="auto"/>
        <w:left w:val="none" w:sz="0" w:space="0" w:color="auto"/>
        <w:bottom w:val="none" w:sz="0" w:space="0" w:color="auto"/>
        <w:right w:val="none" w:sz="0" w:space="0" w:color="auto"/>
      </w:divBdr>
      <w:divsChild>
        <w:div w:id="388506000">
          <w:marLeft w:val="0"/>
          <w:marRight w:val="0"/>
          <w:marTop w:val="0"/>
          <w:marBottom w:val="0"/>
          <w:divBdr>
            <w:top w:val="none" w:sz="0" w:space="0" w:color="auto"/>
            <w:left w:val="none" w:sz="0" w:space="0" w:color="auto"/>
            <w:bottom w:val="none" w:sz="0" w:space="0" w:color="auto"/>
            <w:right w:val="none" w:sz="0" w:space="0" w:color="auto"/>
          </w:divBdr>
          <w:divsChild>
            <w:div w:id="80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740140">
      <w:bodyDiv w:val="1"/>
      <w:marLeft w:val="0"/>
      <w:marRight w:val="0"/>
      <w:marTop w:val="0"/>
      <w:marBottom w:val="0"/>
      <w:divBdr>
        <w:top w:val="none" w:sz="0" w:space="0" w:color="auto"/>
        <w:left w:val="none" w:sz="0" w:space="0" w:color="auto"/>
        <w:bottom w:val="none" w:sz="0" w:space="0" w:color="auto"/>
        <w:right w:val="none" w:sz="0" w:space="0" w:color="auto"/>
      </w:divBdr>
    </w:div>
    <w:div w:id="380179493">
      <w:bodyDiv w:val="1"/>
      <w:marLeft w:val="0"/>
      <w:marRight w:val="0"/>
      <w:marTop w:val="0"/>
      <w:marBottom w:val="0"/>
      <w:divBdr>
        <w:top w:val="none" w:sz="0" w:space="0" w:color="auto"/>
        <w:left w:val="none" w:sz="0" w:space="0" w:color="auto"/>
        <w:bottom w:val="none" w:sz="0" w:space="0" w:color="auto"/>
        <w:right w:val="none" w:sz="0" w:space="0" w:color="auto"/>
      </w:divBdr>
    </w:div>
    <w:div w:id="416562477">
      <w:bodyDiv w:val="1"/>
      <w:marLeft w:val="0"/>
      <w:marRight w:val="0"/>
      <w:marTop w:val="0"/>
      <w:marBottom w:val="0"/>
      <w:divBdr>
        <w:top w:val="none" w:sz="0" w:space="0" w:color="auto"/>
        <w:left w:val="none" w:sz="0" w:space="0" w:color="auto"/>
        <w:bottom w:val="none" w:sz="0" w:space="0" w:color="auto"/>
        <w:right w:val="none" w:sz="0" w:space="0" w:color="auto"/>
      </w:divBdr>
    </w:div>
    <w:div w:id="460149595">
      <w:bodyDiv w:val="1"/>
      <w:marLeft w:val="0"/>
      <w:marRight w:val="0"/>
      <w:marTop w:val="0"/>
      <w:marBottom w:val="0"/>
      <w:divBdr>
        <w:top w:val="none" w:sz="0" w:space="0" w:color="auto"/>
        <w:left w:val="none" w:sz="0" w:space="0" w:color="auto"/>
        <w:bottom w:val="none" w:sz="0" w:space="0" w:color="auto"/>
        <w:right w:val="none" w:sz="0" w:space="0" w:color="auto"/>
      </w:divBdr>
    </w:div>
    <w:div w:id="481704490">
      <w:bodyDiv w:val="1"/>
      <w:marLeft w:val="0"/>
      <w:marRight w:val="0"/>
      <w:marTop w:val="0"/>
      <w:marBottom w:val="0"/>
      <w:divBdr>
        <w:top w:val="none" w:sz="0" w:space="0" w:color="auto"/>
        <w:left w:val="none" w:sz="0" w:space="0" w:color="auto"/>
        <w:bottom w:val="none" w:sz="0" w:space="0" w:color="auto"/>
        <w:right w:val="none" w:sz="0" w:space="0" w:color="auto"/>
      </w:divBdr>
    </w:div>
    <w:div w:id="563225972">
      <w:bodyDiv w:val="1"/>
      <w:marLeft w:val="0"/>
      <w:marRight w:val="0"/>
      <w:marTop w:val="0"/>
      <w:marBottom w:val="0"/>
      <w:divBdr>
        <w:top w:val="none" w:sz="0" w:space="0" w:color="auto"/>
        <w:left w:val="none" w:sz="0" w:space="0" w:color="auto"/>
        <w:bottom w:val="none" w:sz="0" w:space="0" w:color="auto"/>
        <w:right w:val="none" w:sz="0" w:space="0" w:color="auto"/>
      </w:divBdr>
    </w:div>
    <w:div w:id="607657919">
      <w:bodyDiv w:val="1"/>
      <w:marLeft w:val="0"/>
      <w:marRight w:val="0"/>
      <w:marTop w:val="0"/>
      <w:marBottom w:val="0"/>
      <w:divBdr>
        <w:top w:val="none" w:sz="0" w:space="0" w:color="auto"/>
        <w:left w:val="none" w:sz="0" w:space="0" w:color="auto"/>
        <w:bottom w:val="none" w:sz="0" w:space="0" w:color="auto"/>
        <w:right w:val="none" w:sz="0" w:space="0" w:color="auto"/>
      </w:divBdr>
    </w:div>
    <w:div w:id="709065819">
      <w:bodyDiv w:val="1"/>
      <w:marLeft w:val="0"/>
      <w:marRight w:val="0"/>
      <w:marTop w:val="0"/>
      <w:marBottom w:val="0"/>
      <w:divBdr>
        <w:top w:val="none" w:sz="0" w:space="0" w:color="auto"/>
        <w:left w:val="none" w:sz="0" w:space="0" w:color="auto"/>
        <w:bottom w:val="none" w:sz="0" w:space="0" w:color="auto"/>
        <w:right w:val="none" w:sz="0" w:space="0" w:color="auto"/>
      </w:divBdr>
    </w:div>
    <w:div w:id="761150641">
      <w:bodyDiv w:val="1"/>
      <w:marLeft w:val="0"/>
      <w:marRight w:val="0"/>
      <w:marTop w:val="0"/>
      <w:marBottom w:val="0"/>
      <w:divBdr>
        <w:top w:val="none" w:sz="0" w:space="0" w:color="auto"/>
        <w:left w:val="none" w:sz="0" w:space="0" w:color="auto"/>
        <w:bottom w:val="none" w:sz="0" w:space="0" w:color="auto"/>
        <w:right w:val="none" w:sz="0" w:space="0" w:color="auto"/>
      </w:divBdr>
    </w:div>
    <w:div w:id="765080902">
      <w:bodyDiv w:val="1"/>
      <w:marLeft w:val="0"/>
      <w:marRight w:val="0"/>
      <w:marTop w:val="0"/>
      <w:marBottom w:val="0"/>
      <w:divBdr>
        <w:top w:val="none" w:sz="0" w:space="0" w:color="auto"/>
        <w:left w:val="none" w:sz="0" w:space="0" w:color="auto"/>
        <w:bottom w:val="none" w:sz="0" w:space="0" w:color="auto"/>
        <w:right w:val="none" w:sz="0" w:space="0" w:color="auto"/>
      </w:divBdr>
    </w:div>
    <w:div w:id="820924890">
      <w:bodyDiv w:val="1"/>
      <w:marLeft w:val="0"/>
      <w:marRight w:val="0"/>
      <w:marTop w:val="0"/>
      <w:marBottom w:val="0"/>
      <w:divBdr>
        <w:top w:val="none" w:sz="0" w:space="0" w:color="auto"/>
        <w:left w:val="none" w:sz="0" w:space="0" w:color="auto"/>
        <w:bottom w:val="none" w:sz="0" w:space="0" w:color="auto"/>
        <w:right w:val="none" w:sz="0" w:space="0" w:color="auto"/>
      </w:divBdr>
    </w:div>
    <w:div w:id="823546469">
      <w:bodyDiv w:val="1"/>
      <w:marLeft w:val="0"/>
      <w:marRight w:val="0"/>
      <w:marTop w:val="0"/>
      <w:marBottom w:val="0"/>
      <w:divBdr>
        <w:top w:val="none" w:sz="0" w:space="0" w:color="auto"/>
        <w:left w:val="none" w:sz="0" w:space="0" w:color="auto"/>
        <w:bottom w:val="none" w:sz="0" w:space="0" w:color="auto"/>
        <w:right w:val="none" w:sz="0" w:space="0" w:color="auto"/>
      </w:divBdr>
    </w:div>
    <w:div w:id="831289597">
      <w:bodyDiv w:val="1"/>
      <w:marLeft w:val="0"/>
      <w:marRight w:val="0"/>
      <w:marTop w:val="0"/>
      <w:marBottom w:val="0"/>
      <w:divBdr>
        <w:top w:val="none" w:sz="0" w:space="0" w:color="auto"/>
        <w:left w:val="none" w:sz="0" w:space="0" w:color="auto"/>
        <w:bottom w:val="none" w:sz="0" w:space="0" w:color="auto"/>
        <w:right w:val="none" w:sz="0" w:space="0" w:color="auto"/>
      </w:divBdr>
    </w:div>
    <w:div w:id="832137064">
      <w:bodyDiv w:val="1"/>
      <w:marLeft w:val="0"/>
      <w:marRight w:val="0"/>
      <w:marTop w:val="0"/>
      <w:marBottom w:val="0"/>
      <w:divBdr>
        <w:top w:val="none" w:sz="0" w:space="0" w:color="auto"/>
        <w:left w:val="none" w:sz="0" w:space="0" w:color="auto"/>
        <w:bottom w:val="none" w:sz="0" w:space="0" w:color="auto"/>
        <w:right w:val="none" w:sz="0" w:space="0" w:color="auto"/>
      </w:divBdr>
    </w:div>
    <w:div w:id="915868210">
      <w:bodyDiv w:val="1"/>
      <w:marLeft w:val="0"/>
      <w:marRight w:val="0"/>
      <w:marTop w:val="0"/>
      <w:marBottom w:val="0"/>
      <w:divBdr>
        <w:top w:val="none" w:sz="0" w:space="0" w:color="auto"/>
        <w:left w:val="none" w:sz="0" w:space="0" w:color="auto"/>
        <w:bottom w:val="none" w:sz="0" w:space="0" w:color="auto"/>
        <w:right w:val="none" w:sz="0" w:space="0" w:color="auto"/>
      </w:divBdr>
    </w:div>
    <w:div w:id="948314303">
      <w:bodyDiv w:val="1"/>
      <w:marLeft w:val="0"/>
      <w:marRight w:val="0"/>
      <w:marTop w:val="0"/>
      <w:marBottom w:val="0"/>
      <w:divBdr>
        <w:top w:val="none" w:sz="0" w:space="0" w:color="auto"/>
        <w:left w:val="none" w:sz="0" w:space="0" w:color="auto"/>
        <w:bottom w:val="none" w:sz="0" w:space="0" w:color="auto"/>
        <w:right w:val="none" w:sz="0" w:space="0" w:color="auto"/>
      </w:divBdr>
    </w:div>
    <w:div w:id="966353412">
      <w:bodyDiv w:val="1"/>
      <w:marLeft w:val="0"/>
      <w:marRight w:val="0"/>
      <w:marTop w:val="0"/>
      <w:marBottom w:val="0"/>
      <w:divBdr>
        <w:top w:val="none" w:sz="0" w:space="0" w:color="auto"/>
        <w:left w:val="none" w:sz="0" w:space="0" w:color="auto"/>
        <w:bottom w:val="none" w:sz="0" w:space="0" w:color="auto"/>
        <w:right w:val="none" w:sz="0" w:space="0" w:color="auto"/>
      </w:divBdr>
    </w:div>
    <w:div w:id="1045570251">
      <w:bodyDiv w:val="1"/>
      <w:marLeft w:val="0"/>
      <w:marRight w:val="0"/>
      <w:marTop w:val="0"/>
      <w:marBottom w:val="0"/>
      <w:divBdr>
        <w:top w:val="none" w:sz="0" w:space="0" w:color="auto"/>
        <w:left w:val="none" w:sz="0" w:space="0" w:color="auto"/>
        <w:bottom w:val="none" w:sz="0" w:space="0" w:color="auto"/>
        <w:right w:val="none" w:sz="0" w:space="0" w:color="auto"/>
      </w:divBdr>
      <w:divsChild>
        <w:div w:id="1347637267">
          <w:marLeft w:val="0"/>
          <w:marRight w:val="0"/>
          <w:marTop w:val="0"/>
          <w:marBottom w:val="0"/>
          <w:divBdr>
            <w:top w:val="none" w:sz="0" w:space="0" w:color="auto"/>
            <w:left w:val="none" w:sz="0" w:space="0" w:color="auto"/>
            <w:bottom w:val="none" w:sz="0" w:space="0" w:color="auto"/>
            <w:right w:val="none" w:sz="0" w:space="0" w:color="auto"/>
          </w:divBdr>
        </w:div>
        <w:div w:id="421538118">
          <w:marLeft w:val="0"/>
          <w:marRight w:val="0"/>
          <w:marTop w:val="0"/>
          <w:marBottom w:val="0"/>
          <w:divBdr>
            <w:top w:val="none" w:sz="0" w:space="0" w:color="auto"/>
            <w:left w:val="none" w:sz="0" w:space="0" w:color="auto"/>
            <w:bottom w:val="none" w:sz="0" w:space="0" w:color="auto"/>
            <w:right w:val="none" w:sz="0" w:space="0" w:color="auto"/>
          </w:divBdr>
        </w:div>
        <w:div w:id="1890723948">
          <w:marLeft w:val="0"/>
          <w:marRight w:val="0"/>
          <w:marTop w:val="0"/>
          <w:marBottom w:val="0"/>
          <w:divBdr>
            <w:top w:val="none" w:sz="0" w:space="0" w:color="auto"/>
            <w:left w:val="none" w:sz="0" w:space="0" w:color="auto"/>
            <w:bottom w:val="none" w:sz="0" w:space="0" w:color="auto"/>
            <w:right w:val="none" w:sz="0" w:space="0" w:color="auto"/>
          </w:divBdr>
        </w:div>
        <w:div w:id="964889401">
          <w:marLeft w:val="0"/>
          <w:marRight w:val="0"/>
          <w:marTop w:val="0"/>
          <w:marBottom w:val="0"/>
          <w:divBdr>
            <w:top w:val="none" w:sz="0" w:space="0" w:color="auto"/>
            <w:left w:val="none" w:sz="0" w:space="0" w:color="auto"/>
            <w:bottom w:val="none" w:sz="0" w:space="0" w:color="auto"/>
            <w:right w:val="none" w:sz="0" w:space="0" w:color="auto"/>
          </w:divBdr>
        </w:div>
        <w:div w:id="117455491">
          <w:marLeft w:val="0"/>
          <w:marRight w:val="0"/>
          <w:marTop w:val="0"/>
          <w:marBottom w:val="0"/>
          <w:divBdr>
            <w:top w:val="none" w:sz="0" w:space="0" w:color="auto"/>
            <w:left w:val="none" w:sz="0" w:space="0" w:color="auto"/>
            <w:bottom w:val="none" w:sz="0" w:space="0" w:color="auto"/>
            <w:right w:val="none" w:sz="0" w:space="0" w:color="auto"/>
          </w:divBdr>
        </w:div>
      </w:divsChild>
    </w:div>
    <w:div w:id="1107233877">
      <w:bodyDiv w:val="1"/>
      <w:marLeft w:val="0"/>
      <w:marRight w:val="0"/>
      <w:marTop w:val="0"/>
      <w:marBottom w:val="0"/>
      <w:divBdr>
        <w:top w:val="none" w:sz="0" w:space="0" w:color="auto"/>
        <w:left w:val="none" w:sz="0" w:space="0" w:color="auto"/>
        <w:bottom w:val="none" w:sz="0" w:space="0" w:color="auto"/>
        <w:right w:val="none" w:sz="0" w:space="0" w:color="auto"/>
      </w:divBdr>
    </w:div>
    <w:div w:id="1197084841">
      <w:bodyDiv w:val="1"/>
      <w:marLeft w:val="0"/>
      <w:marRight w:val="0"/>
      <w:marTop w:val="0"/>
      <w:marBottom w:val="0"/>
      <w:divBdr>
        <w:top w:val="none" w:sz="0" w:space="0" w:color="auto"/>
        <w:left w:val="none" w:sz="0" w:space="0" w:color="auto"/>
        <w:bottom w:val="none" w:sz="0" w:space="0" w:color="auto"/>
        <w:right w:val="none" w:sz="0" w:space="0" w:color="auto"/>
      </w:divBdr>
      <w:divsChild>
        <w:div w:id="1735009288">
          <w:marLeft w:val="0"/>
          <w:marRight w:val="0"/>
          <w:marTop w:val="0"/>
          <w:marBottom w:val="0"/>
          <w:divBdr>
            <w:top w:val="none" w:sz="0" w:space="0" w:color="auto"/>
            <w:left w:val="none" w:sz="0" w:space="0" w:color="auto"/>
            <w:bottom w:val="none" w:sz="0" w:space="0" w:color="auto"/>
            <w:right w:val="none" w:sz="0" w:space="0" w:color="auto"/>
          </w:divBdr>
        </w:div>
        <w:div w:id="1530798121">
          <w:marLeft w:val="0"/>
          <w:marRight w:val="0"/>
          <w:marTop w:val="0"/>
          <w:marBottom w:val="0"/>
          <w:divBdr>
            <w:top w:val="none" w:sz="0" w:space="0" w:color="auto"/>
            <w:left w:val="none" w:sz="0" w:space="0" w:color="auto"/>
            <w:bottom w:val="none" w:sz="0" w:space="0" w:color="auto"/>
            <w:right w:val="none" w:sz="0" w:space="0" w:color="auto"/>
          </w:divBdr>
        </w:div>
        <w:div w:id="1457026439">
          <w:marLeft w:val="0"/>
          <w:marRight w:val="0"/>
          <w:marTop w:val="0"/>
          <w:marBottom w:val="0"/>
          <w:divBdr>
            <w:top w:val="none" w:sz="0" w:space="0" w:color="auto"/>
            <w:left w:val="none" w:sz="0" w:space="0" w:color="auto"/>
            <w:bottom w:val="none" w:sz="0" w:space="0" w:color="auto"/>
            <w:right w:val="none" w:sz="0" w:space="0" w:color="auto"/>
          </w:divBdr>
        </w:div>
        <w:div w:id="1633057943">
          <w:marLeft w:val="0"/>
          <w:marRight w:val="0"/>
          <w:marTop w:val="0"/>
          <w:marBottom w:val="0"/>
          <w:divBdr>
            <w:top w:val="none" w:sz="0" w:space="0" w:color="auto"/>
            <w:left w:val="none" w:sz="0" w:space="0" w:color="auto"/>
            <w:bottom w:val="none" w:sz="0" w:space="0" w:color="auto"/>
            <w:right w:val="none" w:sz="0" w:space="0" w:color="auto"/>
          </w:divBdr>
        </w:div>
        <w:div w:id="1683163461">
          <w:marLeft w:val="0"/>
          <w:marRight w:val="0"/>
          <w:marTop w:val="0"/>
          <w:marBottom w:val="0"/>
          <w:divBdr>
            <w:top w:val="none" w:sz="0" w:space="0" w:color="auto"/>
            <w:left w:val="none" w:sz="0" w:space="0" w:color="auto"/>
            <w:bottom w:val="none" w:sz="0" w:space="0" w:color="auto"/>
            <w:right w:val="none" w:sz="0" w:space="0" w:color="auto"/>
          </w:divBdr>
        </w:div>
        <w:div w:id="429160602">
          <w:marLeft w:val="0"/>
          <w:marRight w:val="0"/>
          <w:marTop w:val="0"/>
          <w:marBottom w:val="0"/>
          <w:divBdr>
            <w:top w:val="none" w:sz="0" w:space="0" w:color="auto"/>
            <w:left w:val="none" w:sz="0" w:space="0" w:color="auto"/>
            <w:bottom w:val="none" w:sz="0" w:space="0" w:color="auto"/>
            <w:right w:val="none" w:sz="0" w:space="0" w:color="auto"/>
          </w:divBdr>
        </w:div>
      </w:divsChild>
    </w:div>
    <w:div w:id="1487471217">
      <w:bodyDiv w:val="1"/>
      <w:marLeft w:val="0"/>
      <w:marRight w:val="0"/>
      <w:marTop w:val="0"/>
      <w:marBottom w:val="0"/>
      <w:divBdr>
        <w:top w:val="none" w:sz="0" w:space="0" w:color="auto"/>
        <w:left w:val="none" w:sz="0" w:space="0" w:color="auto"/>
        <w:bottom w:val="none" w:sz="0" w:space="0" w:color="auto"/>
        <w:right w:val="none" w:sz="0" w:space="0" w:color="auto"/>
      </w:divBdr>
    </w:div>
    <w:div w:id="1525361425">
      <w:bodyDiv w:val="1"/>
      <w:marLeft w:val="0"/>
      <w:marRight w:val="0"/>
      <w:marTop w:val="0"/>
      <w:marBottom w:val="0"/>
      <w:divBdr>
        <w:top w:val="none" w:sz="0" w:space="0" w:color="auto"/>
        <w:left w:val="none" w:sz="0" w:space="0" w:color="auto"/>
        <w:bottom w:val="none" w:sz="0" w:space="0" w:color="auto"/>
        <w:right w:val="none" w:sz="0" w:space="0" w:color="auto"/>
      </w:divBdr>
    </w:div>
    <w:div w:id="1593663331">
      <w:bodyDiv w:val="1"/>
      <w:marLeft w:val="0"/>
      <w:marRight w:val="0"/>
      <w:marTop w:val="0"/>
      <w:marBottom w:val="0"/>
      <w:divBdr>
        <w:top w:val="none" w:sz="0" w:space="0" w:color="auto"/>
        <w:left w:val="none" w:sz="0" w:space="0" w:color="auto"/>
        <w:bottom w:val="none" w:sz="0" w:space="0" w:color="auto"/>
        <w:right w:val="none" w:sz="0" w:space="0" w:color="auto"/>
      </w:divBdr>
    </w:div>
    <w:div w:id="1610744498">
      <w:bodyDiv w:val="1"/>
      <w:marLeft w:val="0"/>
      <w:marRight w:val="0"/>
      <w:marTop w:val="0"/>
      <w:marBottom w:val="0"/>
      <w:divBdr>
        <w:top w:val="none" w:sz="0" w:space="0" w:color="auto"/>
        <w:left w:val="none" w:sz="0" w:space="0" w:color="auto"/>
        <w:bottom w:val="none" w:sz="0" w:space="0" w:color="auto"/>
        <w:right w:val="none" w:sz="0" w:space="0" w:color="auto"/>
      </w:divBdr>
    </w:div>
    <w:div w:id="1644693842">
      <w:bodyDiv w:val="1"/>
      <w:marLeft w:val="0"/>
      <w:marRight w:val="0"/>
      <w:marTop w:val="0"/>
      <w:marBottom w:val="0"/>
      <w:divBdr>
        <w:top w:val="none" w:sz="0" w:space="0" w:color="auto"/>
        <w:left w:val="none" w:sz="0" w:space="0" w:color="auto"/>
        <w:bottom w:val="none" w:sz="0" w:space="0" w:color="auto"/>
        <w:right w:val="none" w:sz="0" w:space="0" w:color="auto"/>
      </w:divBdr>
    </w:div>
    <w:div w:id="1677996915">
      <w:bodyDiv w:val="1"/>
      <w:marLeft w:val="0"/>
      <w:marRight w:val="0"/>
      <w:marTop w:val="0"/>
      <w:marBottom w:val="0"/>
      <w:divBdr>
        <w:top w:val="none" w:sz="0" w:space="0" w:color="auto"/>
        <w:left w:val="none" w:sz="0" w:space="0" w:color="auto"/>
        <w:bottom w:val="none" w:sz="0" w:space="0" w:color="auto"/>
        <w:right w:val="none" w:sz="0" w:space="0" w:color="auto"/>
      </w:divBdr>
    </w:div>
    <w:div w:id="1700156663">
      <w:bodyDiv w:val="1"/>
      <w:marLeft w:val="0"/>
      <w:marRight w:val="0"/>
      <w:marTop w:val="0"/>
      <w:marBottom w:val="0"/>
      <w:divBdr>
        <w:top w:val="none" w:sz="0" w:space="0" w:color="auto"/>
        <w:left w:val="none" w:sz="0" w:space="0" w:color="auto"/>
        <w:bottom w:val="none" w:sz="0" w:space="0" w:color="auto"/>
        <w:right w:val="none" w:sz="0" w:space="0" w:color="auto"/>
      </w:divBdr>
    </w:div>
    <w:div w:id="1760565558">
      <w:bodyDiv w:val="1"/>
      <w:marLeft w:val="0"/>
      <w:marRight w:val="0"/>
      <w:marTop w:val="0"/>
      <w:marBottom w:val="0"/>
      <w:divBdr>
        <w:top w:val="none" w:sz="0" w:space="0" w:color="auto"/>
        <w:left w:val="none" w:sz="0" w:space="0" w:color="auto"/>
        <w:bottom w:val="none" w:sz="0" w:space="0" w:color="auto"/>
        <w:right w:val="none" w:sz="0" w:space="0" w:color="auto"/>
      </w:divBdr>
    </w:div>
    <w:div w:id="1773084024">
      <w:bodyDiv w:val="1"/>
      <w:marLeft w:val="0"/>
      <w:marRight w:val="0"/>
      <w:marTop w:val="0"/>
      <w:marBottom w:val="0"/>
      <w:divBdr>
        <w:top w:val="none" w:sz="0" w:space="0" w:color="auto"/>
        <w:left w:val="none" w:sz="0" w:space="0" w:color="auto"/>
        <w:bottom w:val="none" w:sz="0" w:space="0" w:color="auto"/>
        <w:right w:val="none" w:sz="0" w:space="0" w:color="auto"/>
      </w:divBdr>
    </w:div>
    <w:div w:id="1895042750">
      <w:bodyDiv w:val="1"/>
      <w:marLeft w:val="0"/>
      <w:marRight w:val="0"/>
      <w:marTop w:val="0"/>
      <w:marBottom w:val="0"/>
      <w:divBdr>
        <w:top w:val="none" w:sz="0" w:space="0" w:color="auto"/>
        <w:left w:val="none" w:sz="0" w:space="0" w:color="auto"/>
        <w:bottom w:val="none" w:sz="0" w:space="0" w:color="auto"/>
        <w:right w:val="none" w:sz="0" w:space="0" w:color="auto"/>
      </w:divBdr>
    </w:div>
    <w:div w:id="1899902284">
      <w:bodyDiv w:val="1"/>
      <w:marLeft w:val="0"/>
      <w:marRight w:val="0"/>
      <w:marTop w:val="0"/>
      <w:marBottom w:val="0"/>
      <w:divBdr>
        <w:top w:val="none" w:sz="0" w:space="0" w:color="auto"/>
        <w:left w:val="none" w:sz="0" w:space="0" w:color="auto"/>
        <w:bottom w:val="none" w:sz="0" w:space="0" w:color="auto"/>
        <w:right w:val="none" w:sz="0" w:space="0" w:color="auto"/>
      </w:divBdr>
    </w:div>
    <w:div w:id="1914969259">
      <w:bodyDiv w:val="1"/>
      <w:marLeft w:val="0"/>
      <w:marRight w:val="0"/>
      <w:marTop w:val="0"/>
      <w:marBottom w:val="0"/>
      <w:divBdr>
        <w:top w:val="none" w:sz="0" w:space="0" w:color="auto"/>
        <w:left w:val="none" w:sz="0" w:space="0" w:color="auto"/>
        <w:bottom w:val="none" w:sz="0" w:space="0" w:color="auto"/>
        <w:right w:val="none" w:sz="0" w:space="0" w:color="auto"/>
      </w:divBdr>
    </w:div>
    <w:div w:id="1916549441">
      <w:bodyDiv w:val="1"/>
      <w:marLeft w:val="0"/>
      <w:marRight w:val="0"/>
      <w:marTop w:val="0"/>
      <w:marBottom w:val="0"/>
      <w:divBdr>
        <w:top w:val="none" w:sz="0" w:space="0" w:color="auto"/>
        <w:left w:val="none" w:sz="0" w:space="0" w:color="auto"/>
        <w:bottom w:val="none" w:sz="0" w:space="0" w:color="auto"/>
        <w:right w:val="none" w:sz="0" w:space="0" w:color="auto"/>
      </w:divBdr>
    </w:div>
    <w:div w:id="1936278852">
      <w:bodyDiv w:val="1"/>
      <w:marLeft w:val="0"/>
      <w:marRight w:val="0"/>
      <w:marTop w:val="0"/>
      <w:marBottom w:val="0"/>
      <w:divBdr>
        <w:top w:val="none" w:sz="0" w:space="0" w:color="auto"/>
        <w:left w:val="none" w:sz="0" w:space="0" w:color="auto"/>
        <w:bottom w:val="none" w:sz="0" w:space="0" w:color="auto"/>
        <w:right w:val="none" w:sz="0" w:space="0" w:color="auto"/>
      </w:divBdr>
    </w:div>
    <w:div w:id="1964841114">
      <w:bodyDiv w:val="1"/>
      <w:marLeft w:val="0"/>
      <w:marRight w:val="0"/>
      <w:marTop w:val="0"/>
      <w:marBottom w:val="0"/>
      <w:divBdr>
        <w:top w:val="none" w:sz="0" w:space="0" w:color="auto"/>
        <w:left w:val="none" w:sz="0" w:space="0" w:color="auto"/>
        <w:bottom w:val="none" w:sz="0" w:space="0" w:color="auto"/>
        <w:right w:val="none" w:sz="0" w:space="0" w:color="auto"/>
      </w:divBdr>
    </w:div>
    <w:div w:id="1993216238">
      <w:bodyDiv w:val="1"/>
      <w:marLeft w:val="0"/>
      <w:marRight w:val="0"/>
      <w:marTop w:val="0"/>
      <w:marBottom w:val="0"/>
      <w:divBdr>
        <w:top w:val="none" w:sz="0" w:space="0" w:color="auto"/>
        <w:left w:val="none" w:sz="0" w:space="0" w:color="auto"/>
        <w:bottom w:val="none" w:sz="0" w:space="0" w:color="auto"/>
        <w:right w:val="none" w:sz="0" w:space="0" w:color="auto"/>
      </w:divBdr>
    </w:div>
    <w:div w:id="210476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zarowin@stern.ny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FF5EC-4F4D-4A7C-9187-517CDC400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14184</Words>
  <Characters>80853</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NYU Stern</Company>
  <LinksUpToDate>false</LinksUpToDate>
  <CharactersWithSpaces>94848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pzarowin</dc:creator>
  <cp:lastModifiedBy>pz1</cp:lastModifiedBy>
  <cp:revision>2</cp:revision>
  <cp:lastPrinted>2019-12-21T15:03:00Z</cp:lastPrinted>
  <dcterms:created xsi:type="dcterms:W3CDTF">2021-07-13T22:35:00Z</dcterms:created>
  <dcterms:modified xsi:type="dcterms:W3CDTF">2021-07-13T22:35:00Z</dcterms:modified>
</cp:coreProperties>
</file>